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4921063B" w14:textId="77777777" w:rsidTr="0047741D">
        <w:trPr>
          <w:gridAfter w:val="1"/>
          <w:wAfter w:w="2835" w:type="dxa"/>
          <w:cantSplit/>
          <w:trHeight w:val="569"/>
        </w:trPr>
        <w:tc>
          <w:tcPr>
            <w:tcW w:w="4786" w:type="dxa"/>
            <w:shd w:val="clear" w:color="auto" w:fill="BFBFBF"/>
            <w:vAlign w:val="center"/>
          </w:tcPr>
          <w:p w14:paraId="49210639" w14:textId="77777777" w:rsidR="002F5C5E" w:rsidRPr="009E2B84" w:rsidRDefault="00713633"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4921070E" wp14:editId="4921070F">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4921063A" w14:textId="77777777" w:rsidR="002F5C5E" w:rsidRPr="009E2B84" w:rsidRDefault="002F5C5E" w:rsidP="00AC4A99">
            <w:pPr>
              <w:jc w:val="center"/>
              <w:rPr>
                <w:b/>
              </w:rPr>
            </w:pPr>
            <w:r w:rsidRPr="009E2B84">
              <w:rPr>
                <w:b/>
              </w:rPr>
              <w:t>ON</w:t>
            </w:r>
          </w:p>
        </w:tc>
      </w:tr>
      <w:tr w:rsidR="002F5C5E" w:rsidRPr="009E2B84" w14:paraId="4921063E" w14:textId="77777777" w:rsidTr="0047741D">
        <w:trPr>
          <w:gridAfter w:val="1"/>
          <w:wAfter w:w="2835" w:type="dxa"/>
          <w:cantSplit/>
          <w:trHeight w:val="654"/>
        </w:trPr>
        <w:tc>
          <w:tcPr>
            <w:tcW w:w="4786" w:type="dxa"/>
            <w:tcBorders>
              <w:bottom w:val="nil"/>
            </w:tcBorders>
            <w:vAlign w:val="center"/>
          </w:tcPr>
          <w:p w14:paraId="4921063C" w14:textId="77777777" w:rsidR="002F5C5E" w:rsidRPr="00BE2A3F" w:rsidRDefault="002A671F" w:rsidP="00A87399">
            <w:pPr>
              <w:rPr>
                <w:b/>
                <w:szCs w:val="22"/>
              </w:rPr>
            </w:pPr>
            <w:r>
              <w:rPr>
                <w:b/>
                <w:szCs w:val="22"/>
              </w:rPr>
              <w:t>Determination of New Premises Licence Application</w:t>
            </w:r>
          </w:p>
        </w:tc>
        <w:tc>
          <w:tcPr>
            <w:tcW w:w="2268" w:type="dxa"/>
            <w:gridSpan w:val="2"/>
            <w:tcBorders>
              <w:bottom w:val="nil"/>
            </w:tcBorders>
            <w:vAlign w:val="center"/>
          </w:tcPr>
          <w:p w14:paraId="4921063D" w14:textId="77777777" w:rsidR="002F5C5E" w:rsidRPr="009E2B84" w:rsidRDefault="00140A9E" w:rsidP="0047741D">
            <w:pPr>
              <w:jc w:val="center"/>
              <w:rPr>
                <w:b/>
              </w:rPr>
            </w:pPr>
            <w:r>
              <w:rPr>
                <w:b/>
              </w:rPr>
              <w:t>19 July 2018</w:t>
            </w:r>
          </w:p>
        </w:tc>
      </w:tr>
      <w:tr w:rsidR="002F5C5E" w:rsidRPr="009E2B84" w14:paraId="49210640" w14:textId="77777777" w:rsidTr="0047741D">
        <w:trPr>
          <w:gridAfter w:val="1"/>
          <w:wAfter w:w="2835" w:type="dxa"/>
          <w:cantSplit/>
          <w:trHeight w:val="560"/>
        </w:trPr>
        <w:tc>
          <w:tcPr>
            <w:tcW w:w="7054" w:type="dxa"/>
            <w:gridSpan w:val="3"/>
            <w:tcBorders>
              <w:left w:val="nil"/>
              <w:right w:val="nil"/>
            </w:tcBorders>
          </w:tcPr>
          <w:p w14:paraId="4921063F" w14:textId="77777777" w:rsidR="002F5C5E" w:rsidRPr="009E2B84" w:rsidRDefault="002F5C5E" w:rsidP="003902A2">
            <w:pPr>
              <w:jc w:val="right"/>
              <w:rPr>
                <w:sz w:val="8"/>
              </w:rPr>
            </w:pPr>
          </w:p>
        </w:tc>
      </w:tr>
      <w:tr w:rsidR="0047741D" w:rsidRPr="009E2B84" w14:paraId="49210643" w14:textId="77777777" w:rsidTr="0047741D">
        <w:trPr>
          <w:cantSplit/>
        </w:trPr>
        <w:tc>
          <w:tcPr>
            <w:tcW w:w="6912" w:type="dxa"/>
            <w:gridSpan w:val="2"/>
            <w:shd w:val="clear" w:color="auto" w:fill="BFBFBF"/>
            <w:vAlign w:val="center"/>
          </w:tcPr>
          <w:p w14:paraId="49210641"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49210642" w14:textId="77777777" w:rsidR="0047741D" w:rsidRPr="009E2B84" w:rsidRDefault="0047741D" w:rsidP="00E2196F">
            <w:pPr>
              <w:jc w:val="center"/>
              <w:rPr>
                <w:b/>
              </w:rPr>
            </w:pPr>
            <w:r>
              <w:rPr>
                <w:b/>
              </w:rPr>
              <w:t>REPORT OF</w:t>
            </w:r>
          </w:p>
        </w:tc>
      </w:tr>
      <w:tr w:rsidR="0047741D" w:rsidRPr="009E2B84" w14:paraId="49210647" w14:textId="77777777" w:rsidTr="0047741D">
        <w:trPr>
          <w:cantSplit/>
          <w:trHeight w:val="667"/>
        </w:trPr>
        <w:tc>
          <w:tcPr>
            <w:tcW w:w="6912" w:type="dxa"/>
            <w:gridSpan w:val="2"/>
            <w:vAlign w:val="center"/>
          </w:tcPr>
          <w:p w14:paraId="49210644" w14:textId="77777777" w:rsidR="00F040CF" w:rsidRDefault="00F040CF" w:rsidP="001B1D4F">
            <w:pPr>
              <w:rPr>
                <w:b/>
              </w:rPr>
            </w:pPr>
          </w:p>
          <w:p w14:paraId="49210645" w14:textId="77777777" w:rsidR="001B1D4F" w:rsidRPr="009E2B84" w:rsidRDefault="002A671F" w:rsidP="002A671F">
            <w:pPr>
              <w:rPr>
                <w:b/>
              </w:rPr>
            </w:pPr>
            <w:r>
              <w:rPr>
                <w:b/>
              </w:rPr>
              <w:t>Weavers Arms-2-4 Spinners Square, Bamber Bridge PR5 6EQ</w:t>
            </w:r>
          </w:p>
        </w:tc>
        <w:tc>
          <w:tcPr>
            <w:tcW w:w="2977" w:type="dxa"/>
            <w:gridSpan w:val="2"/>
            <w:vAlign w:val="center"/>
          </w:tcPr>
          <w:p w14:paraId="49210646" w14:textId="77777777" w:rsidR="0047741D" w:rsidRPr="005368C1" w:rsidRDefault="005368C1" w:rsidP="00604A18">
            <w:r>
              <w:t>Head of Licensing</w:t>
            </w:r>
          </w:p>
        </w:tc>
      </w:tr>
    </w:tbl>
    <w:p w14:paraId="49210648" w14:textId="77777777" w:rsidR="002F5C5E" w:rsidRPr="009E2B84" w:rsidRDefault="002F5C5E" w:rsidP="002F5C5E"/>
    <w:p w14:paraId="49210649"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4921064E" w14:textId="77777777" w:rsidTr="00E2196F">
        <w:tc>
          <w:tcPr>
            <w:tcW w:w="6652" w:type="dxa"/>
            <w:shd w:val="clear" w:color="auto" w:fill="auto"/>
          </w:tcPr>
          <w:p w14:paraId="4921064A" w14:textId="77777777" w:rsidR="0047741D" w:rsidRDefault="0047741D" w:rsidP="00E2196F">
            <w:pPr>
              <w:rPr>
                <w:szCs w:val="22"/>
              </w:rPr>
            </w:pPr>
          </w:p>
          <w:p w14:paraId="4921064B" w14:textId="77777777" w:rsidR="0047741D" w:rsidRPr="009C1143" w:rsidRDefault="0047741D" w:rsidP="00E2196F">
            <w:pPr>
              <w:rPr>
                <w:szCs w:val="22"/>
              </w:rPr>
            </w:pPr>
            <w:r>
              <w:rPr>
                <w:szCs w:val="22"/>
              </w:rPr>
              <w:t>Is this report confidential?</w:t>
            </w:r>
          </w:p>
        </w:tc>
        <w:tc>
          <w:tcPr>
            <w:tcW w:w="3266" w:type="dxa"/>
            <w:shd w:val="clear" w:color="auto" w:fill="auto"/>
          </w:tcPr>
          <w:p w14:paraId="4921064C" w14:textId="77777777" w:rsidR="001B1D4F" w:rsidRDefault="001B1D4F" w:rsidP="00E2196F">
            <w:pPr>
              <w:rPr>
                <w:b/>
                <w:szCs w:val="22"/>
              </w:rPr>
            </w:pPr>
          </w:p>
          <w:p w14:paraId="4921064D" w14:textId="77777777" w:rsidR="0047741D" w:rsidRPr="009C1143" w:rsidRDefault="00142109">
            <w:pPr>
              <w:rPr>
                <w:szCs w:val="22"/>
              </w:rPr>
            </w:pPr>
            <w:r>
              <w:rPr>
                <w:b/>
                <w:szCs w:val="22"/>
              </w:rPr>
              <w:t>No</w:t>
            </w:r>
          </w:p>
        </w:tc>
      </w:tr>
    </w:tbl>
    <w:p w14:paraId="4921064F" w14:textId="77777777" w:rsidR="0047741D" w:rsidRDefault="0047741D" w:rsidP="002F5C5E">
      <w:pPr>
        <w:rPr>
          <w:sz w:val="16"/>
          <w:szCs w:val="16"/>
        </w:rPr>
      </w:pPr>
    </w:p>
    <w:p w14:paraId="49210650" w14:textId="77777777" w:rsidR="00EB2D32" w:rsidRPr="009C1143" w:rsidRDefault="00EB2D32" w:rsidP="002F5C5E">
      <w:pPr>
        <w:rPr>
          <w:sz w:val="16"/>
          <w:szCs w:val="16"/>
        </w:rPr>
      </w:pPr>
    </w:p>
    <w:p w14:paraId="49210651" w14:textId="77777777" w:rsidR="002F5C5E" w:rsidRPr="002A671F" w:rsidRDefault="002F5C5E" w:rsidP="00F4022F">
      <w:pPr>
        <w:keepNext/>
        <w:numPr>
          <w:ilvl w:val="0"/>
          <w:numId w:val="8"/>
        </w:numPr>
        <w:outlineLvl w:val="0"/>
        <w:rPr>
          <w:rFonts w:cs="Arial"/>
          <w:b/>
          <w:szCs w:val="22"/>
        </w:rPr>
      </w:pPr>
      <w:r w:rsidRPr="009C1143">
        <w:rPr>
          <w:b/>
          <w:szCs w:val="22"/>
        </w:rPr>
        <w:t xml:space="preserve">PURPOSE OF THE REPORT  </w:t>
      </w:r>
    </w:p>
    <w:p w14:paraId="49210652" w14:textId="77777777" w:rsidR="007D610E" w:rsidRDefault="007D610E" w:rsidP="00A87399">
      <w:pPr>
        <w:pStyle w:val="ListParagraph"/>
        <w:keepNext/>
        <w:ind w:left="360"/>
        <w:outlineLvl w:val="0"/>
      </w:pPr>
    </w:p>
    <w:p w14:paraId="49210653" w14:textId="77777777" w:rsidR="00A87399" w:rsidRPr="007D610E" w:rsidRDefault="00A87399" w:rsidP="00A87399">
      <w:pPr>
        <w:pStyle w:val="ListParagraph"/>
        <w:keepNext/>
        <w:ind w:left="360"/>
        <w:outlineLvl w:val="0"/>
      </w:pPr>
      <w:r>
        <w:t>To provide an overview of the application</w:t>
      </w:r>
      <w:r w:rsidR="00142109">
        <w:t xml:space="preserve"> and</w:t>
      </w:r>
      <w:r>
        <w:t xml:space="preserve"> inform Members of the relevant parts of statute and guidance relating to this application</w:t>
      </w:r>
    </w:p>
    <w:p w14:paraId="49210654" w14:textId="77777777" w:rsidR="002F5C5E" w:rsidRPr="00A87399" w:rsidRDefault="00A87399" w:rsidP="00A87399">
      <w:pPr>
        <w:keepNext/>
        <w:outlineLvl w:val="0"/>
        <w:rPr>
          <w:rFonts w:cs="Arial"/>
          <w:b/>
        </w:rPr>
      </w:pPr>
      <w:r>
        <w:rPr>
          <w:rFonts w:cs="Arial"/>
          <w:b/>
        </w:rPr>
        <w:t xml:space="preserve">2   </w:t>
      </w:r>
      <w:r w:rsidR="002F5C5E" w:rsidRPr="00A87399">
        <w:rPr>
          <w:rFonts w:cs="Arial"/>
          <w:b/>
        </w:rPr>
        <w:t>CORPORATE PRIORITIES</w:t>
      </w:r>
    </w:p>
    <w:p w14:paraId="49210655" w14:textId="77777777" w:rsidR="00772B9C" w:rsidRPr="00F4022F" w:rsidRDefault="00772B9C" w:rsidP="00F4022F">
      <w:pPr>
        <w:keepNext/>
        <w:outlineLvl w:val="0"/>
        <w:rPr>
          <w:rFonts w:cs="Arial"/>
          <w:b/>
          <w:szCs w:val="22"/>
        </w:rPr>
      </w:pPr>
    </w:p>
    <w:p w14:paraId="49210656" w14:textId="77777777" w:rsidR="00772B9C" w:rsidRPr="00F4022F" w:rsidRDefault="00772B9C" w:rsidP="00F4022F">
      <w:pPr>
        <w:keepNext/>
        <w:ind w:left="360"/>
        <w:outlineLvl w:val="0"/>
        <w:rPr>
          <w:rFonts w:cs="Arial"/>
          <w:i/>
          <w:color w:val="2E74B5"/>
          <w:szCs w:val="22"/>
        </w:rPr>
      </w:pPr>
      <w:r w:rsidRPr="00F4022F">
        <w:rPr>
          <w:rFonts w:cs="Arial"/>
          <w:szCs w:val="22"/>
        </w:rPr>
        <w:t>The report relates to the following corporate priorities:</w:t>
      </w:r>
    </w:p>
    <w:p w14:paraId="49210657" w14:textId="77777777" w:rsidR="00772B9C" w:rsidRPr="00F4022F" w:rsidRDefault="00772B9C" w:rsidP="00F4022F">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F4022F" w14:paraId="4921065B" w14:textId="77777777" w:rsidTr="000E4458">
        <w:tc>
          <w:tcPr>
            <w:tcW w:w="4423" w:type="dxa"/>
            <w:shd w:val="clear" w:color="auto" w:fill="auto"/>
          </w:tcPr>
          <w:p w14:paraId="49210658" w14:textId="77777777" w:rsidR="00772B9C" w:rsidRPr="00F4022F" w:rsidRDefault="00772B9C" w:rsidP="00F4022F">
            <w:pPr>
              <w:rPr>
                <w:rFonts w:cs="Arial"/>
                <w:szCs w:val="22"/>
              </w:rPr>
            </w:pPr>
            <w:r w:rsidRPr="00F4022F">
              <w:rPr>
                <w:rFonts w:cs="Arial"/>
                <w:szCs w:val="22"/>
              </w:rPr>
              <w:t>Excellence and Financial Sustainability</w:t>
            </w:r>
          </w:p>
          <w:p w14:paraId="49210659" w14:textId="77777777" w:rsidR="00772B9C" w:rsidRPr="00F4022F" w:rsidRDefault="00772B9C" w:rsidP="00F4022F">
            <w:pPr>
              <w:rPr>
                <w:rFonts w:cs="Arial"/>
                <w:szCs w:val="22"/>
              </w:rPr>
            </w:pPr>
          </w:p>
        </w:tc>
        <w:tc>
          <w:tcPr>
            <w:tcW w:w="850" w:type="dxa"/>
            <w:shd w:val="clear" w:color="auto" w:fill="auto"/>
          </w:tcPr>
          <w:p w14:paraId="4921065A" w14:textId="77777777" w:rsidR="00772B9C" w:rsidRPr="00F4022F" w:rsidRDefault="00772B9C" w:rsidP="00F4022F">
            <w:pPr>
              <w:rPr>
                <w:rFonts w:cs="Arial"/>
                <w:szCs w:val="22"/>
                <w:highlight w:val="yellow"/>
              </w:rPr>
            </w:pPr>
          </w:p>
        </w:tc>
      </w:tr>
      <w:tr w:rsidR="00772B9C" w:rsidRPr="00F4022F" w14:paraId="4921065F" w14:textId="77777777" w:rsidTr="000E4458">
        <w:tc>
          <w:tcPr>
            <w:tcW w:w="4423" w:type="dxa"/>
            <w:shd w:val="clear" w:color="auto" w:fill="auto"/>
          </w:tcPr>
          <w:p w14:paraId="4921065C" w14:textId="77777777" w:rsidR="00772B9C" w:rsidRPr="00F4022F" w:rsidRDefault="00772B9C" w:rsidP="00F4022F">
            <w:pPr>
              <w:rPr>
                <w:rFonts w:cs="Arial"/>
                <w:szCs w:val="22"/>
              </w:rPr>
            </w:pPr>
            <w:r w:rsidRPr="00F4022F">
              <w:rPr>
                <w:rFonts w:cs="Arial"/>
                <w:szCs w:val="22"/>
              </w:rPr>
              <w:t>Health and Wellbeing</w:t>
            </w:r>
          </w:p>
          <w:p w14:paraId="4921065D" w14:textId="77777777" w:rsidR="00772B9C" w:rsidRPr="00F4022F" w:rsidRDefault="00772B9C" w:rsidP="00F4022F">
            <w:pPr>
              <w:rPr>
                <w:rFonts w:cs="Arial"/>
                <w:szCs w:val="22"/>
              </w:rPr>
            </w:pPr>
          </w:p>
        </w:tc>
        <w:tc>
          <w:tcPr>
            <w:tcW w:w="850" w:type="dxa"/>
            <w:shd w:val="clear" w:color="auto" w:fill="auto"/>
          </w:tcPr>
          <w:p w14:paraId="4921065E" w14:textId="77777777" w:rsidR="00772B9C" w:rsidRPr="00F4022F" w:rsidRDefault="00674679" w:rsidP="00F4022F">
            <w:pPr>
              <w:rPr>
                <w:rFonts w:cs="Arial"/>
                <w:szCs w:val="22"/>
                <w:highlight w:val="yellow"/>
              </w:rPr>
            </w:pPr>
            <w:r w:rsidRPr="00515B7F">
              <w:rPr>
                <w:rFonts w:cs="Arial"/>
                <w:szCs w:val="22"/>
              </w:rPr>
              <w:t>x</w:t>
            </w:r>
          </w:p>
        </w:tc>
      </w:tr>
      <w:tr w:rsidR="00772B9C" w:rsidRPr="00674679" w14:paraId="49210663" w14:textId="77777777" w:rsidTr="000E4458">
        <w:tc>
          <w:tcPr>
            <w:tcW w:w="4423" w:type="dxa"/>
            <w:shd w:val="clear" w:color="auto" w:fill="auto"/>
          </w:tcPr>
          <w:p w14:paraId="49210660" w14:textId="77777777" w:rsidR="00772B9C" w:rsidRPr="00F4022F" w:rsidRDefault="00772B9C" w:rsidP="00F4022F">
            <w:pPr>
              <w:rPr>
                <w:rFonts w:cs="Arial"/>
                <w:szCs w:val="22"/>
              </w:rPr>
            </w:pPr>
            <w:r w:rsidRPr="00F4022F">
              <w:rPr>
                <w:rFonts w:cs="Arial"/>
                <w:szCs w:val="22"/>
              </w:rPr>
              <w:t>Place</w:t>
            </w:r>
          </w:p>
          <w:p w14:paraId="49210661" w14:textId="77777777" w:rsidR="00772B9C" w:rsidRPr="00F4022F" w:rsidRDefault="00772B9C" w:rsidP="00F4022F">
            <w:pPr>
              <w:rPr>
                <w:rFonts w:cs="Arial"/>
                <w:szCs w:val="22"/>
              </w:rPr>
            </w:pPr>
          </w:p>
        </w:tc>
        <w:tc>
          <w:tcPr>
            <w:tcW w:w="850" w:type="dxa"/>
            <w:shd w:val="clear" w:color="auto" w:fill="auto"/>
          </w:tcPr>
          <w:p w14:paraId="49210662" w14:textId="77777777" w:rsidR="00772B9C" w:rsidRPr="00F4022F" w:rsidRDefault="00185E4F" w:rsidP="00F4022F">
            <w:pPr>
              <w:rPr>
                <w:rFonts w:cs="Arial"/>
                <w:szCs w:val="22"/>
              </w:rPr>
            </w:pPr>
            <w:r>
              <w:rPr>
                <w:rFonts w:cs="Arial"/>
                <w:szCs w:val="22"/>
              </w:rPr>
              <w:t>x</w:t>
            </w:r>
          </w:p>
        </w:tc>
      </w:tr>
    </w:tbl>
    <w:p w14:paraId="49210664" w14:textId="77777777" w:rsidR="00772B9C" w:rsidRPr="00F4022F" w:rsidRDefault="00772B9C" w:rsidP="00F4022F">
      <w:pPr>
        <w:rPr>
          <w:rFonts w:cs="Arial"/>
          <w:szCs w:val="22"/>
        </w:rPr>
      </w:pPr>
    </w:p>
    <w:p w14:paraId="49210665" w14:textId="77777777" w:rsidR="00674679" w:rsidRDefault="00674679" w:rsidP="00674679">
      <w:pPr>
        <w:ind w:firstLine="720"/>
      </w:pPr>
      <w:r>
        <w:t>Projects relating to People in the Corporate Plan:</w:t>
      </w:r>
    </w:p>
    <w:p w14:paraId="49210666" w14:textId="77777777" w:rsidR="00674679" w:rsidRDefault="00674679" w:rsidP="00674679">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674679" w14:paraId="4921066A" w14:textId="77777777" w:rsidTr="00146ED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0667" w14:textId="77777777" w:rsidR="00674679" w:rsidRDefault="00674679" w:rsidP="00146EDD">
            <w:pPr>
              <w:rPr>
                <w:szCs w:val="22"/>
              </w:rPr>
            </w:pPr>
            <w:r>
              <w:rPr>
                <w:szCs w:val="22"/>
              </w:rPr>
              <w:t xml:space="preserve">People </w:t>
            </w:r>
          </w:p>
          <w:p w14:paraId="49210668" w14:textId="77777777" w:rsidR="00674679" w:rsidRDefault="00674679" w:rsidP="00146EDD">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0669" w14:textId="77777777" w:rsidR="00674679" w:rsidRDefault="00674679" w:rsidP="00146EDD">
            <w:pPr>
              <w:rPr>
                <w:szCs w:val="22"/>
              </w:rPr>
            </w:pPr>
          </w:p>
        </w:tc>
      </w:tr>
    </w:tbl>
    <w:p w14:paraId="4921066B" w14:textId="77777777" w:rsidR="002F5C5E" w:rsidRPr="00F4022F" w:rsidRDefault="002F5C5E" w:rsidP="00F4022F">
      <w:pPr>
        <w:rPr>
          <w:rFonts w:cs="Arial"/>
          <w:szCs w:val="22"/>
        </w:rPr>
      </w:pPr>
    </w:p>
    <w:p w14:paraId="4921066C" w14:textId="77777777" w:rsidR="00674679" w:rsidRDefault="00674679" w:rsidP="00F4022F">
      <w:pPr>
        <w:rPr>
          <w:rFonts w:cs="Arial"/>
          <w:b/>
          <w:szCs w:val="22"/>
        </w:rPr>
      </w:pPr>
    </w:p>
    <w:p w14:paraId="4921066D" w14:textId="77777777" w:rsidR="000B621E" w:rsidRPr="006234A2" w:rsidRDefault="000B621E" w:rsidP="006234A2">
      <w:pPr>
        <w:pStyle w:val="ListParagraph"/>
        <w:numPr>
          <w:ilvl w:val="0"/>
          <w:numId w:val="49"/>
        </w:numPr>
        <w:ind w:left="426" w:hanging="426"/>
        <w:rPr>
          <w:rFonts w:ascii="Arial" w:hAnsi="Arial" w:cs="Arial"/>
          <w:b/>
        </w:rPr>
      </w:pPr>
      <w:r w:rsidRPr="006234A2">
        <w:rPr>
          <w:rFonts w:ascii="Arial" w:hAnsi="Arial" w:cs="Arial"/>
          <w:b/>
        </w:rPr>
        <w:t>RECOMMENDATIONS</w:t>
      </w:r>
    </w:p>
    <w:p w14:paraId="4921066E" w14:textId="77777777" w:rsidR="002A671F" w:rsidRPr="006234A2" w:rsidRDefault="002A671F" w:rsidP="006234A2">
      <w:pPr>
        <w:rPr>
          <w:rFonts w:cs="Arial"/>
          <w:b/>
        </w:rPr>
      </w:pPr>
    </w:p>
    <w:p w14:paraId="4921066F" w14:textId="77777777" w:rsidR="007D610E" w:rsidRDefault="007D610E" w:rsidP="007D610E">
      <w:pPr>
        <w:ind w:left="360"/>
        <w:rPr>
          <w:szCs w:val="22"/>
        </w:rPr>
      </w:pPr>
      <w:r w:rsidRPr="007D610E">
        <w:rPr>
          <w:szCs w:val="22"/>
        </w:rPr>
        <w:t>Members are requested to:</w:t>
      </w:r>
    </w:p>
    <w:p w14:paraId="49210670" w14:textId="77777777" w:rsidR="002A671F" w:rsidRPr="007D610E" w:rsidRDefault="002A671F" w:rsidP="007D610E">
      <w:pPr>
        <w:ind w:left="360"/>
        <w:rPr>
          <w:szCs w:val="22"/>
        </w:rPr>
      </w:pPr>
    </w:p>
    <w:p w14:paraId="49210671" w14:textId="77777777" w:rsidR="007D610E" w:rsidRPr="007D610E" w:rsidRDefault="007D610E" w:rsidP="007D610E">
      <w:pPr>
        <w:rPr>
          <w:szCs w:val="22"/>
        </w:rPr>
      </w:pPr>
      <w:r>
        <w:rPr>
          <w:szCs w:val="22"/>
        </w:rPr>
        <w:t>3</w:t>
      </w:r>
      <w:r w:rsidRPr="007D610E">
        <w:rPr>
          <w:szCs w:val="22"/>
        </w:rPr>
        <w:t>.1 note the content of the report; and</w:t>
      </w:r>
    </w:p>
    <w:p w14:paraId="49210672" w14:textId="0CB43833" w:rsidR="007D610E" w:rsidRPr="007D610E" w:rsidRDefault="007D610E" w:rsidP="007D610E">
      <w:pPr>
        <w:ind w:left="426" w:hanging="426"/>
        <w:rPr>
          <w:rFonts w:cs="Arial"/>
          <w:szCs w:val="22"/>
        </w:rPr>
      </w:pPr>
      <w:r>
        <w:rPr>
          <w:szCs w:val="22"/>
        </w:rPr>
        <w:t>3</w:t>
      </w:r>
      <w:r w:rsidRPr="007D610E">
        <w:rPr>
          <w:szCs w:val="22"/>
        </w:rPr>
        <w:t>.2 d</w:t>
      </w:r>
      <w:r w:rsidRPr="007D610E">
        <w:rPr>
          <w:rFonts w:cs="Arial"/>
          <w:szCs w:val="22"/>
        </w:rPr>
        <w:t>etermine whether to grant or reject the application. If members grant the application, they are asked to consider whether any additional conditions or restrictions should apply (taking into account any repres</w:t>
      </w:r>
      <w:r w:rsidR="0066337F">
        <w:rPr>
          <w:rFonts w:cs="Arial"/>
          <w:szCs w:val="22"/>
        </w:rPr>
        <w:t>entations that have been made) (Appendix A)</w:t>
      </w:r>
    </w:p>
    <w:p w14:paraId="49210673" w14:textId="77777777" w:rsidR="007D610E" w:rsidRPr="007D610E" w:rsidRDefault="007D610E" w:rsidP="007D610E">
      <w:pPr>
        <w:rPr>
          <w:szCs w:val="22"/>
        </w:rPr>
      </w:pPr>
    </w:p>
    <w:p w14:paraId="49210674" w14:textId="77777777" w:rsidR="006D748F" w:rsidRPr="00F4022F" w:rsidRDefault="006D748F" w:rsidP="00F4022F">
      <w:pPr>
        <w:rPr>
          <w:rFonts w:cs="Arial"/>
          <w:b/>
          <w:szCs w:val="22"/>
        </w:rPr>
      </w:pPr>
    </w:p>
    <w:p w14:paraId="49210675" w14:textId="77777777" w:rsidR="00F75C9D" w:rsidRPr="00F4022F" w:rsidRDefault="00F75C9D" w:rsidP="00F4022F">
      <w:pPr>
        <w:rPr>
          <w:rFonts w:cs="Arial"/>
          <w:b/>
          <w:szCs w:val="22"/>
        </w:rPr>
      </w:pPr>
    </w:p>
    <w:p w14:paraId="49210676" w14:textId="77777777" w:rsidR="002F5C5E" w:rsidRDefault="00262CC8" w:rsidP="00F4022F">
      <w:pPr>
        <w:rPr>
          <w:rFonts w:cs="Arial"/>
          <w:b/>
          <w:szCs w:val="22"/>
        </w:rPr>
      </w:pPr>
      <w:r w:rsidRPr="00F4022F">
        <w:rPr>
          <w:rFonts w:cs="Arial"/>
          <w:b/>
          <w:szCs w:val="22"/>
        </w:rPr>
        <w:t>4</w:t>
      </w:r>
      <w:r w:rsidR="002F5C5E" w:rsidRPr="00F4022F">
        <w:rPr>
          <w:rFonts w:cs="Arial"/>
          <w:b/>
          <w:szCs w:val="22"/>
        </w:rPr>
        <w:t>.   BACKGROUND TO THE REPORT</w:t>
      </w:r>
    </w:p>
    <w:p w14:paraId="49210677" w14:textId="77777777" w:rsidR="00142109" w:rsidRDefault="00142109" w:rsidP="00F4022F">
      <w:pPr>
        <w:rPr>
          <w:rFonts w:cs="Arial"/>
          <w:b/>
          <w:szCs w:val="22"/>
        </w:rPr>
      </w:pPr>
    </w:p>
    <w:p w14:paraId="49210678" w14:textId="77777777" w:rsidR="007D610E" w:rsidRPr="007D610E" w:rsidRDefault="007D610E" w:rsidP="007D610E">
      <w:pPr>
        <w:ind w:left="284" w:hanging="284"/>
        <w:rPr>
          <w:rFonts w:cs="Arial"/>
          <w:lang w:val="en"/>
        </w:rPr>
      </w:pPr>
      <w:r w:rsidRPr="007D610E">
        <w:rPr>
          <w:szCs w:val="22"/>
        </w:rPr>
        <w:t>4.1 An application was submitted on 25</w:t>
      </w:r>
      <w:r w:rsidRPr="007D610E">
        <w:rPr>
          <w:szCs w:val="22"/>
          <w:vertAlign w:val="superscript"/>
        </w:rPr>
        <w:t>th</w:t>
      </w:r>
      <w:r w:rsidRPr="007D610E">
        <w:rPr>
          <w:szCs w:val="22"/>
        </w:rPr>
        <w:t xml:space="preserve"> May 2018by Spinners Square Limited for an</w:t>
      </w:r>
      <w:r w:rsidRPr="007D610E">
        <w:rPr>
          <w:lang w:val="en"/>
        </w:rPr>
        <w:t xml:space="preserve"> application for a new Premises Licence pursuant to  </w:t>
      </w:r>
      <w:r w:rsidR="00E800A3">
        <w:rPr>
          <w:lang w:val="en"/>
        </w:rPr>
        <w:t>S</w:t>
      </w:r>
      <w:r w:rsidRPr="007D610E">
        <w:rPr>
          <w:lang w:val="en"/>
        </w:rPr>
        <w:t xml:space="preserve">ection 17 of the </w:t>
      </w:r>
      <w:r w:rsidRPr="007D610E">
        <w:rPr>
          <w:rFonts w:cs="Arial"/>
          <w:lang w:val="en"/>
        </w:rPr>
        <w:t xml:space="preserve">Licensing Act 2003 for the Weavers Arms, 2-4 Spinners Square, Bamber Bridge, PR5 6EQ. </w:t>
      </w:r>
    </w:p>
    <w:p w14:paraId="49210679" w14:textId="77777777" w:rsidR="007D610E" w:rsidRPr="007D610E" w:rsidRDefault="007D610E" w:rsidP="007D610E">
      <w:pPr>
        <w:rPr>
          <w:rFonts w:cs="Arial"/>
          <w:lang w:val="en"/>
        </w:rPr>
      </w:pPr>
    </w:p>
    <w:p w14:paraId="4921067A" w14:textId="77777777" w:rsidR="007D610E" w:rsidRPr="007D610E" w:rsidRDefault="007D610E" w:rsidP="007D610E">
      <w:pPr>
        <w:ind w:left="426" w:hanging="426"/>
        <w:rPr>
          <w:rFonts w:cs="Arial"/>
          <w:lang w:val="en"/>
        </w:rPr>
      </w:pPr>
      <w:r w:rsidRPr="007D610E">
        <w:rPr>
          <w:rFonts w:cs="Arial"/>
          <w:lang w:val="en"/>
        </w:rPr>
        <w:lastRenderedPageBreak/>
        <w:t>4.2 The Applicant seeks permission to sell alcohol by retail between the hours of 10am and midnight Sun- Thurs and 10am -1am on Fridays and Saturdays.</w:t>
      </w:r>
    </w:p>
    <w:p w14:paraId="4921067B" w14:textId="77777777" w:rsidR="007D610E" w:rsidRPr="007D610E" w:rsidRDefault="007D610E" w:rsidP="007D610E">
      <w:pPr>
        <w:rPr>
          <w:rFonts w:cs="Arial"/>
          <w:lang w:val="en"/>
        </w:rPr>
      </w:pPr>
    </w:p>
    <w:p w14:paraId="4921067C" w14:textId="77777777" w:rsidR="007D610E" w:rsidRPr="007D610E" w:rsidRDefault="007D610E" w:rsidP="007D610E">
      <w:pPr>
        <w:rPr>
          <w:rFonts w:cs="Arial"/>
          <w:lang w:val="en"/>
        </w:rPr>
      </w:pPr>
      <w:r w:rsidRPr="007D610E">
        <w:rPr>
          <w:rFonts w:cs="Arial"/>
          <w:lang w:val="en"/>
        </w:rPr>
        <w:t xml:space="preserve">4.3 In addition, the applicant seeks permission: </w:t>
      </w:r>
    </w:p>
    <w:p w14:paraId="4921067D" w14:textId="77777777" w:rsidR="007D610E" w:rsidRPr="007D610E" w:rsidRDefault="007D610E" w:rsidP="007D610E">
      <w:pPr>
        <w:rPr>
          <w:rFonts w:cs="Arial"/>
          <w:lang w:val="en"/>
        </w:rPr>
      </w:pPr>
    </w:p>
    <w:p w14:paraId="4921067E" w14:textId="77777777" w:rsidR="007D610E" w:rsidRPr="007D610E" w:rsidRDefault="007D610E" w:rsidP="006234A2">
      <w:pPr>
        <w:ind w:left="720"/>
        <w:rPr>
          <w:rFonts w:cs="Arial"/>
          <w:lang w:val="en"/>
        </w:rPr>
      </w:pPr>
      <w:r w:rsidRPr="007D610E">
        <w:rPr>
          <w:rFonts w:cs="Arial"/>
          <w:lang w:val="en"/>
        </w:rPr>
        <w:t>To offer recorded music between the hours of 10am and midnight Sun- Thurs and 10am-1am on Fridays and Saturdays, and</w:t>
      </w:r>
    </w:p>
    <w:p w14:paraId="4921067F" w14:textId="77777777" w:rsidR="007D610E" w:rsidRPr="007D610E" w:rsidRDefault="007D610E" w:rsidP="007D610E">
      <w:pPr>
        <w:ind w:firstLine="720"/>
        <w:rPr>
          <w:rFonts w:cs="Arial"/>
          <w:lang w:val="en"/>
        </w:rPr>
      </w:pPr>
    </w:p>
    <w:p w14:paraId="49210680" w14:textId="77777777" w:rsidR="007D610E" w:rsidRPr="007D610E" w:rsidRDefault="007D610E" w:rsidP="006234A2">
      <w:pPr>
        <w:ind w:left="720"/>
        <w:rPr>
          <w:rFonts w:cs="Arial"/>
          <w:lang w:val="en"/>
        </w:rPr>
      </w:pPr>
      <w:r w:rsidRPr="007D610E">
        <w:rPr>
          <w:rFonts w:cs="Arial"/>
          <w:lang w:val="en"/>
        </w:rPr>
        <w:t>To offer the provision of facilities for making music between the hours of 10am and midnight Sun- Thurs and 10am-1am on Fridays and Saturdays.</w:t>
      </w:r>
    </w:p>
    <w:p w14:paraId="49210681" w14:textId="77777777" w:rsidR="007D610E" w:rsidRPr="007D610E" w:rsidRDefault="007D610E" w:rsidP="007D610E">
      <w:pPr>
        <w:ind w:firstLine="720"/>
        <w:rPr>
          <w:rFonts w:cs="Arial"/>
          <w:lang w:val="en"/>
        </w:rPr>
      </w:pPr>
    </w:p>
    <w:p w14:paraId="49210682" w14:textId="77777777" w:rsidR="007D610E" w:rsidRPr="007D610E" w:rsidRDefault="007D610E" w:rsidP="007D610E">
      <w:pPr>
        <w:rPr>
          <w:rFonts w:cs="Arial"/>
          <w:lang w:val="en"/>
        </w:rPr>
      </w:pPr>
    </w:p>
    <w:p w14:paraId="49210683" w14:textId="4B8F46CA" w:rsidR="007D610E" w:rsidRPr="007D610E" w:rsidRDefault="007D610E" w:rsidP="007D610E">
      <w:pPr>
        <w:rPr>
          <w:rFonts w:cs="Arial"/>
          <w:szCs w:val="22"/>
          <w:lang w:val="en"/>
        </w:rPr>
      </w:pPr>
      <w:r w:rsidRPr="007D610E">
        <w:rPr>
          <w:rFonts w:cs="Arial"/>
          <w:lang w:val="en"/>
        </w:rPr>
        <w:t xml:space="preserve">4.4 The premises is currently vacant and the applicant has submitted a detailed site management plan which details the layout and use proposed. </w:t>
      </w:r>
      <w:r w:rsidR="0066337F">
        <w:rPr>
          <w:rFonts w:cs="Arial"/>
          <w:lang w:val="en"/>
        </w:rPr>
        <w:t>(Appendix A)</w:t>
      </w:r>
      <w:r w:rsidRPr="007D610E">
        <w:rPr>
          <w:rFonts w:cs="Arial"/>
          <w:lang w:val="en"/>
        </w:rPr>
        <w:t xml:space="preserve"> The measures set out in the Operating Schedule ( page 20 of the application ) are broad in terms of detail and the site management plan provides some helpful detail</w:t>
      </w:r>
      <w:r w:rsidR="00E800A3">
        <w:rPr>
          <w:rFonts w:cs="Arial"/>
          <w:lang w:val="en"/>
        </w:rPr>
        <w:t xml:space="preserve">, </w:t>
      </w:r>
      <w:r w:rsidRPr="007D610E">
        <w:rPr>
          <w:rFonts w:cs="Arial"/>
          <w:lang w:val="en"/>
        </w:rPr>
        <w:t xml:space="preserve">so could be read in conjunction with the operating schedule .In addition to the site management plan the applicant has also submitted a Noise Assessment which details some recommendations. </w:t>
      </w:r>
    </w:p>
    <w:p w14:paraId="49210684" w14:textId="77777777" w:rsidR="007D610E" w:rsidRPr="00F4022F" w:rsidRDefault="007D610E" w:rsidP="00F4022F">
      <w:pPr>
        <w:rPr>
          <w:rFonts w:cs="Arial"/>
          <w:b/>
          <w:szCs w:val="22"/>
        </w:rPr>
      </w:pPr>
    </w:p>
    <w:p w14:paraId="49210685" w14:textId="77777777" w:rsidR="00A33B5B" w:rsidRPr="00F4022F" w:rsidRDefault="00A33B5B" w:rsidP="00F4022F">
      <w:pPr>
        <w:shd w:val="clear" w:color="auto" w:fill="FFFFFF"/>
        <w:outlineLvl w:val="3"/>
        <w:rPr>
          <w:rFonts w:cs="Arial"/>
          <w:color w:val="000000"/>
          <w:szCs w:val="22"/>
          <w:lang w:val="en"/>
        </w:rPr>
      </w:pPr>
      <w:r w:rsidRPr="00F4022F">
        <w:rPr>
          <w:rFonts w:cs="Arial"/>
          <w:b/>
          <w:bCs/>
          <w:vanish/>
          <w:color w:val="FFFFFF"/>
          <w:szCs w:val="22"/>
          <w:shd w:val="clear" w:color="auto" w:fill="660066"/>
          <w:lang w:val="en"/>
        </w:rPr>
        <w:t>E+W</w:t>
      </w:r>
    </w:p>
    <w:p w14:paraId="49210686" w14:textId="77777777" w:rsidR="007D610E" w:rsidRPr="00E352B4" w:rsidRDefault="00E352B4" w:rsidP="00140A9E">
      <w:pPr>
        <w:ind w:left="-142" w:firstLine="142"/>
        <w:rPr>
          <w:rFonts w:cs="Arial"/>
          <w:b/>
          <w:noProof/>
          <w:sz w:val="24"/>
          <w:szCs w:val="24"/>
        </w:rPr>
      </w:pPr>
      <w:r>
        <w:rPr>
          <w:rFonts w:cs="Arial"/>
          <w:b/>
          <w:noProof/>
          <w:sz w:val="24"/>
          <w:szCs w:val="24"/>
        </w:rPr>
        <w:t>5.</w:t>
      </w:r>
      <w:r w:rsidR="007D610E" w:rsidRPr="00E352B4">
        <w:rPr>
          <w:rFonts w:cs="Arial"/>
          <w:b/>
          <w:noProof/>
          <w:sz w:val="24"/>
          <w:szCs w:val="24"/>
        </w:rPr>
        <w:t>REPRESENTATIONS FROM RESPONSIBLE AUTHORITIES</w:t>
      </w:r>
    </w:p>
    <w:p w14:paraId="49210687" w14:textId="77777777" w:rsidR="007D610E" w:rsidRPr="00E352B4" w:rsidRDefault="007D610E" w:rsidP="00E352B4">
      <w:pPr>
        <w:rPr>
          <w:rFonts w:cs="Arial"/>
          <w:b/>
          <w:noProof/>
        </w:rPr>
      </w:pPr>
    </w:p>
    <w:p w14:paraId="49210688" w14:textId="6B9F1ED8" w:rsidR="007D610E" w:rsidRPr="007D610E" w:rsidRDefault="007D610E" w:rsidP="007D610E">
      <w:pPr>
        <w:ind w:left="426" w:hanging="426"/>
        <w:rPr>
          <w:rFonts w:cs="Arial"/>
          <w:noProof/>
          <w:szCs w:val="22"/>
        </w:rPr>
      </w:pPr>
      <w:r w:rsidRPr="007D610E">
        <w:rPr>
          <w:rFonts w:cs="Arial"/>
          <w:noProof/>
          <w:szCs w:val="22"/>
        </w:rPr>
        <w:t xml:space="preserve">5.1 There have been three representations received by responsible authorities in respect of the application. The representations have been received from the Council’s Planning Section Environmental Health Section and Lancashire Fire and Rescue Services, the represenations are  attached as Appendices </w:t>
      </w:r>
      <w:r w:rsidR="0066337F">
        <w:rPr>
          <w:rFonts w:cs="Arial"/>
          <w:noProof/>
          <w:szCs w:val="22"/>
        </w:rPr>
        <w:t>B</w:t>
      </w:r>
      <w:r w:rsidRPr="007D610E">
        <w:rPr>
          <w:rFonts w:cs="Arial"/>
          <w:noProof/>
          <w:szCs w:val="22"/>
        </w:rPr>
        <w:t xml:space="preserve">, </w:t>
      </w:r>
      <w:r w:rsidR="0066337F">
        <w:rPr>
          <w:rFonts w:cs="Arial"/>
          <w:noProof/>
          <w:szCs w:val="22"/>
        </w:rPr>
        <w:t>C and D</w:t>
      </w:r>
      <w:r w:rsidRPr="007D610E">
        <w:rPr>
          <w:rFonts w:cs="Arial"/>
          <w:noProof/>
          <w:szCs w:val="22"/>
        </w:rPr>
        <w:t xml:space="preserve"> respectively. </w:t>
      </w:r>
    </w:p>
    <w:p w14:paraId="49210689" w14:textId="77777777" w:rsidR="007D610E" w:rsidRPr="007D610E" w:rsidRDefault="007D610E" w:rsidP="007D610E">
      <w:pPr>
        <w:rPr>
          <w:rFonts w:cs="Arial"/>
          <w:noProof/>
          <w:szCs w:val="22"/>
        </w:rPr>
      </w:pPr>
    </w:p>
    <w:p w14:paraId="4921068A" w14:textId="77777777" w:rsidR="007D610E" w:rsidRPr="007D610E" w:rsidRDefault="007D610E" w:rsidP="007D610E">
      <w:pPr>
        <w:ind w:left="426" w:hanging="426"/>
        <w:rPr>
          <w:rFonts w:cs="Arial"/>
          <w:noProof/>
          <w:szCs w:val="22"/>
        </w:rPr>
      </w:pPr>
      <w:r w:rsidRPr="007D610E">
        <w:rPr>
          <w:rFonts w:cs="Arial"/>
          <w:noProof/>
          <w:szCs w:val="22"/>
        </w:rPr>
        <w:t xml:space="preserve">5.2 The representation relate to concerns over noise nusiance and public safety which fall under the licensing objectives Prevention of Public Nuisance and Public safety. All representations are attached to the report. </w:t>
      </w:r>
    </w:p>
    <w:p w14:paraId="4921068B" w14:textId="77777777" w:rsidR="002A671F" w:rsidRPr="002A671F" w:rsidRDefault="002A671F" w:rsidP="002A671F">
      <w:pPr>
        <w:rPr>
          <w:rFonts w:cs="Arial"/>
          <w:b/>
          <w:noProof/>
          <w:szCs w:val="22"/>
        </w:rPr>
      </w:pPr>
    </w:p>
    <w:p w14:paraId="4921068C" w14:textId="77777777" w:rsidR="002A671F" w:rsidRPr="002A671F" w:rsidRDefault="002A671F" w:rsidP="002A671F">
      <w:pPr>
        <w:rPr>
          <w:rFonts w:cs="Arial"/>
          <w:b/>
          <w:noProof/>
          <w:szCs w:val="22"/>
        </w:rPr>
      </w:pPr>
      <w:r w:rsidRPr="002A671F">
        <w:rPr>
          <w:rFonts w:cs="Arial"/>
          <w:b/>
          <w:noProof/>
          <w:szCs w:val="22"/>
        </w:rPr>
        <w:t xml:space="preserve">6.    REPRESENTATIONS FROM OTHER INTERESTED PARTIES   </w:t>
      </w:r>
    </w:p>
    <w:p w14:paraId="4921068D" w14:textId="77777777" w:rsidR="002A671F" w:rsidRPr="002A671F" w:rsidRDefault="002A671F" w:rsidP="002A671F">
      <w:pPr>
        <w:rPr>
          <w:rFonts w:cs="Arial"/>
          <w:noProof/>
          <w:szCs w:val="22"/>
        </w:rPr>
      </w:pPr>
    </w:p>
    <w:p w14:paraId="4921068E" w14:textId="162384CA" w:rsidR="002A671F" w:rsidRPr="002A671F" w:rsidRDefault="002A671F" w:rsidP="002A671F">
      <w:pPr>
        <w:ind w:left="426" w:hanging="426"/>
        <w:rPr>
          <w:rFonts w:cs="Arial"/>
          <w:noProof/>
          <w:szCs w:val="22"/>
        </w:rPr>
      </w:pPr>
      <w:r w:rsidRPr="002A671F">
        <w:rPr>
          <w:rFonts w:cs="Arial"/>
          <w:noProof/>
          <w:szCs w:val="22"/>
        </w:rPr>
        <w:t xml:space="preserve">6.1 There have been 11 representations received from other parties. They have raised issues in respect of licensing objectives relating to the Prevention of Harm to Children, the Prevention of Public Nuisance, the Prevention of Crime and Disorder, and Public Safety.  Please see attached representations (Appendices </w:t>
      </w:r>
      <w:r w:rsidR="0066337F">
        <w:rPr>
          <w:rFonts w:cs="Arial"/>
          <w:noProof/>
          <w:szCs w:val="22"/>
        </w:rPr>
        <w:t>E - O</w:t>
      </w:r>
      <w:r w:rsidRPr="002A671F">
        <w:rPr>
          <w:rFonts w:cs="Arial"/>
          <w:noProof/>
          <w:szCs w:val="22"/>
        </w:rPr>
        <w:t xml:space="preserve">). </w:t>
      </w:r>
    </w:p>
    <w:p w14:paraId="4921068F" w14:textId="77777777" w:rsidR="00E51346" w:rsidRPr="00F4022F" w:rsidRDefault="00E51346" w:rsidP="00F4022F">
      <w:pPr>
        <w:rPr>
          <w:rFonts w:cs="Arial"/>
          <w:szCs w:val="22"/>
        </w:rPr>
      </w:pPr>
    </w:p>
    <w:p w14:paraId="49210690" w14:textId="77777777" w:rsidR="002A671F" w:rsidRPr="002A671F" w:rsidRDefault="002A671F" w:rsidP="002A671F">
      <w:pPr>
        <w:rPr>
          <w:rFonts w:cs="Arial"/>
          <w:b/>
          <w:color w:val="000000"/>
          <w:szCs w:val="22"/>
        </w:rPr>
      </w:pPr>
    </w:p>
    <w:p w14:paraId="49210691" w14:textId="77777777" w:rsidR="002A671F" w:rsidRPr="002A671F" w:rsidRDefault="002A671F" w:rsidP="002A671F">
      <w:pPr>
        <w:rPr>
          <w:rFonts w:cs="Arial"/>
          <w:b/>
          <w:color w:val="000000"/>
          <w:szCs w:val="22"/>
        </w:rPr>
      </w:pPr>
      <w:r w:rsidRPr="002A671F">
        <w:rPr>
          <w:rFonts w:cs="Arial"/>
          <w:b/>
          <w:color w:val="000000"/>
          <w:szCs w:val="22"/>
        </w:rPr>
        <w:t xml:space="preserve">7.    DECISION TO BE MADE BY THE </w:t>
      </w:r>
      <w:r w:rsidR="00C42294">
        <w:rPr>
          <w:rFonts w:cs="Arial"/>
          <w:b/>
          <w:color w:val="000000"/>
          <w:szCs w:val="22"/>
        </w:rPr>
        <w:t>LICENSING ACT PANEL</w:t>
      </w:r>
      <w:r w:rsidRPr="002A671F">
        <w:rPr>
          <w:rFonts w:cs="Arial"/>
          <w:b/>
          <w:color w:val="000000"/>
          <w:szCs w:val="22"/>
        </w:rPr>
        <w:t xml:space="preserve"> </w:t>
      </w:r>
    </w:p>
    <w:p w14:paraId="49210692" w14:textId="77777777" w:rsidR="002A671F" w:rsidRPr="002A671F" w:rsidRDefault="002A671F" w:rsidP="002A671F">
      <w:pPr>
        <w:jc w:val="both"/>
        <w:rPr>
          <w:rFonts w:cs="Arial"/>
          <w:b/>
          <w:szCs w:val="22"/>
        </w:rPr>
      </w:pPr>
    </w:p>
    <w:p w14:paraId="49210693" w14:textId="77777777" w:rsidR="002A671F" w:rsidRPr="002A671F" w:rsidRDefault="002A671F" w:rsidP="002A671F">
      <w:pPr>
        <w:jc w:val="both"/>
        <w:rPr>
          <w:rFonts w:cs="Arial"/>
          <w:b/>
          <w:color w:val="000000"/>
          <w:szCs w:val="22"/>
          <w:lang w:val="en"/>
          <w:specVanish/>
        </w:rPr>
      </w:pPr>
      <w:r w:rsidRPr="002A671F">
        <w:rPr>
          <w:rFonts w:cs="Arial"/>
          <w:b/>
          <w:color w:val="000000"/>
          <w:szCs w:val="22"/>
          <w:lang w:val="en"/>
        </w:rPr>
        <w:t xml:space="preserve">       Determination of application under section 18 of the Licensing Act 2003</w:t>
      </w:r>
    </w:p>
    <w:p w14:paraId="49210694" w14:textId="77777777" w:rsidR="002A671F" w:rsidRPr="002A671F" w:rsidRDefault="002A671F" w:rsidP="002A671F">
      <w:pPr>
        <w:jc w:val="both"/>
        <w:rPr>
          <w:rFonts w:cs="Arial"/>
          <w:b/>
          <w:color w:val="000000"/>
          <w:szCs w:val="22"/>
          <w:lang w:val="en"/>
          <w:specVanish/>
        </w:rPr>
      </w:pPr>
    </w:p>
    <w:p w14:paraId="49210695" w14:textId="77777777" w:rsidR="002A671F" w:rsidRPr="002A671F" w:rsidRDefault="002A671F" w:rsidP="002A671F">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 w:val="24"/>
          <w:szCs w:val="22"/>
          <w:lang w:val="en" w:eastAsia="en-US"/>
        </w:rPr>
        <w:t xml:space="preserve">7.1 </w:t>
      </w:r>
      <w:r w:rsidRPr="002A671F">
        <w:rPr>
          <w:rFonts w:eastAsiaTheme="minorHAnsi" w:cs="Arial"/>
          <w:color w:val="000000"/>
          <w:szCs w:val="22"/>
          <w:lang w:val="en" w:eastAsia="en-US"/>
        </w:rPr>
        <w:t>Section 18 of the Licensing Act 2003 sets out the steps that can be taken, which are;</w:t>
      </w:r>
    </w:p>
    <w:p w14:paraId="49210696" w14:textId="77777777" w:rsidR="002A671F" w:rsidRPr="002A671F" w:rsidRDefault="002A671F" w:rsidP="002A671F">
      <w:pPr>
        <w:autoSpaceDE w:val="0"/>
        <w:autoSpaceDN w:val="0"/>
        <w:adjustRightInd w:val="0"/>
        <w:rPr>
          <w:rFonts w:eastAsiaTheme="minorHAnsi" w:cs="Arial"/>
          <w:color w:val="000000"/>
          <w:szCs w:val="22"/>
          <w:lang w:val="en" w:eastAsia="en-US"/>
          <w:specVanish/>
        </w:rPr>
      </w:pPr>
    </w:p>
    <w:p w14:paraId="49210697" w14:textId="77777777" w:rsidR="002A671F" w:rsidRPr="002A671F" w:rsidRDefault="002A671F" w:rsidP="006234A2">
      <w:pPr>
        <w:autoSpaceDE w:val="0"/>
        <w:autoSpaceDN w:val="0"/>
        <w:adjustRightInd w:val="0"/>
        <w:ind w:left="720"/>
        <w:rPr>
          <w:rFonts w:eastAsiaTheme="minorHAnsi" w:cs="Arial"/>
          <w:color w:val="000000"/>
          <w:szCs w:val="22"/>
          <w:lang w:val="en" w:eastAsia="en-US"/>
          <w:specVanish/>
        </w:rPr>
      </w:pPr>
      <w:r w:rsidRPr="002A671F">
        <w:rPr>
          <w:rFonts w:eastAsiaTheme="minorHAnsi" w:cs="Arial"/>
          <w:color w:val="000000"/>
          <w:szCs w:val="22"/>
          <w:lang w:val="en" w:eastAsia="en-US"/>
        </w:rPr>
        <w:t>To grant the licence subject to any conditions the Licensing Authority considers appropriate for the promotion of the Licensing Objectives.</w:t>
      </w:r>
    </w:p>
    <w:p w14:paraId="49210698" w14:textId="77777777" w:rsidR="002A671F" w:rsidRPr="002A671F" w:rsidRDefault="002A671F" w:rsidP="002A671F">
      <w:pPr>
        <w:autoSpaceDE w:val="0"/>
        <w:autoSpaceDN w:val="0"/>
        <w:adjustRightInd w:val="0"/>
        <w:rPr>
          <w:rFonts w:eastAsiaTheme="minorHAnsi" w:cs="Arial"/>
          <w:color w:val="000000"/>
          <w:szCs w:val="22"/>
          <w:lang w:val="en" w:eastAsia="en-US"/>
          <w:specVanish/>
        </w:rPr>
      </w:pPr>
    </w:p>
    <w:p w14:paraId="49210699" w14:textId="77777777" w:rsidR="002A671F" w:rsidRPr="002A671F" w:rsidRDefault="002A671F" w:rsidP="006234A2">
      <w:pPr>
        <w:autoSpaceDE w:val="0"/>
        <w:autoSpaceDN w:val="0"/>
        <w:adjustRightInd w:val="0"/>
        <w:ind w:left="720"/>
        <w:rPr>
          <w:rFonts w:eastAsiaTheme="minorHAnsi" w:cs="Arial"/>
          <w:color w:val="000000"/>
          <w:szCs w:val="22"/>
          <w:lang w:val="en" w:eastAsia="en-US"/>
          <w:specVanish/>
        </w:rPr>
      </w:pPr>
      <w:r w:rsidRPr="002A671F">
        <w:rPr>
          <w:rFonts w:eastAsiaTheme="minorHAnsi" w:cs="Arial"/>
          <w:color w:val="000000"/>
          <w:szCs w:val="22"/>
          <w:lang w:val="en" w:eastAsia="en-US"/>
        </w:rPr>
        <w:t>To exclude from the scope of the licence any licensable activities to which the application relates</w:t>
      </w:r>
    </w:p>
    <w:p w14:paraId="4921069A" w14:textId="77777777" w:rsidR="002A671F" w:rsidRPr="002A671F" w:rsidRDefault="002A671F" w:rsidP="002A671F">
      <w:pPr>
        <w:autoSpaceDE w:val="0"/>
        <w:autoSpaceDN w:val="0"/>
        <w:adjustRightInd w:val="0"/>
        <w:rPr>
          <w:rFonts w:eastAsiaTheme="minorHAnsi" w:cs="Arial"/>
          <w:color w:val="000000"/>
          <w:szCs w:val="22"/>
          <w:lang w:val="en" w:eastAsia="en-US"/>
          <w:specVanish/>
        </w:rPr>
      </w:pPr>
    </w:p>
    <w:p w14:paraId="4921069B" w14:textId="77777777" w:rsidR="002A671F" w:rsidRPr="002A671F" w:rsidRDefault="002A671F" w:rsidP="006234A2">
      <w:pPr>
        <w:autoSpaceDE w:val="0"/>
        <w:autoSpaceDN w:val="0"/>
        <w:adjustRightInd w:val="0"/>
        <w:ind w:firstLine="720"/>
        <w:rPr>
          <w:rFonts w:eastAsiaTheme="minorHAnsi" w:cs="Arial"/>
          <w:color w:val="000000"/>
          <w:szCs w:val="22"/>
          <w:lang w:val="en" w:eastAsia="en-US"/>
          <w:specVanish/>
        </w:rPr>
      </w:pPr>
      <w:r w:rsidRPr="002A671F">
        <w:rPr>
          <w:rFonts w:eastAsiaTheme="minorHAnsi" w:cs="Arial"/>
          <w:color w:val="000000"/>
          <w:szCs w:val="22"/>
          <w:lang w:val="en" w:eastAsia="en-US"/>
        </w:rPr>
        <w:t xml:space="preserve">To refuse to specify a person in the licence the premises supervisor; or </w:t>
      </w:r>
    </w:p>
    <w:p w14:paraId="4921069C" w14:textId="77777777" w:rsidR="002A671F" w:rsidRPr="002A671F" w:rsidRDefault="002A671F" w:rsidP="002A671F">
      <w:pPr>
        <w:autoSpaceDE w:val="0"/>
        <w:autoSpaceDN w:val="0"/>
        <w:adjustRightInd w:val="0"/>
        <w:rPr>
          <w:rFonts w:eastAsiaTheme="minorHAnsi" w:cs="Arial"/>
          <w:color w:val="000000"/>
          <w:szCs w:val="22"/>
          <w:lang w:val="en" w:eastAsia="en-US"/>
          <w:specVanish/>
        </w:rPr>
      </w:pPr>
    </w:p>
    <w:p w14:paraId="4921069D" w14:textId="77777777" w:rsidR="002A671F" w:rsidRPr="002A671F" w:rsidRDefault="002A671F" w:rsidP="006234A2">
      <w:pPr>
        <w:autoSpaceDE w:val="0"/>
        <w:autoSpaceDN w:val="0"/>
        <w:adjustRightInd w:val="0"/>
        <w:ind w:firstLine="720"/>
        <w:rPr>
          <w:rFonts w:eastAsiaTheme="minorHAnsi" w:cs="Arial"/>
          <w:color w:val="000000"/>
          <w:szCs w:val="22"/>
          <w:lang w:val="en" w:eastAsia="en-US"/>
          <w:specVanish/>
        </w:rPr>
      </w:pPr>
      <w:r w:rsidRPr="002A671F">
        <w:rPr>
          <w:rFonts w:eastAsiaTheme="minorHAnsi" w:cs="Arial"/>
          <w:color w:val="000000"/>
          <w:szCs w:val="22"/>
          <w:lang w:val="en" w:eastAsia="en-US"/>
        </w:rPr>
        <w:t>To reject the application</w:t>
      </w:r>
    </w:p>
    <w:p w14:paraId="4921069E" w14:textId="77777777" w:rsidR="002A671F" w:rsidRPr="002A671F" w:rsidRDefault="002A671F" w:rsidP="002A671F">
      <w:pPr>
        <w:autoSpaceDE w:val="0"/>
        <w:autoSpaceDN w:val="0"/>
        <w:adjustRightInd w:val="0"/>
        <w:rPr>
          <w:rFonts w:eastAsiaTheme="minorHAnsi" w:cs="Arial"/>
          <w:color w:val="000000"/>
          <w:szCs w:val="22"/>
          <w:lang w:val="en" w:eastAsia="en-US"/>
          <w:specVanish/>
        </w:rPr>
      </w:pPr>
    </w:p>
    <w:p w14:paraId="4921069F" w14:textId="77777777" w:rsidR="002A671F" w:rsidRPr="002A671F" w:rsidRDefault="002A671F" w:rsidP="006234A2">
      <w:pPr>
        <w:autoSpaceDE w:val="0"/>
        <w:autoSpaceDN w:val="0"/>
        <w:adjustRightInd w:val="0"/>
        <w:ind w:left="720"/>
        <w:rPr>
          <w:rFonts w:eastAsiaTheme="minorHAnsi" w:cs="Arial"/>
          <w:color w:val="000000"/>
          <w:szCs w:val="22"/>
          <w:lang w:val="en" w:eastAsia="en-US"/>
          <w:specVanish/>
        </w:rPr>
      </w:pPr>
      <w:r w:rsidRPr="002A671F">
        <w:rPr>
          <w:rFonts w:eastAsiaTheme="minorHAnsi" w:cs="Arial"/>
          <w:color w:val="000000"/>
          <w:szCs w:val="22"/>
          <w:lang w:val="en" w:eastAsia="en-US"/>
        </w:rPr>
        <w:lastRenderedPageBreak/>
        <w:t>A licensing authority must carry out its functions under the Act (licensing functions) with a view to promoting the licensing objectives.</w:t>
      </w:r>
    </w:p>
    <w:p w14:paraId="492106A0" w14:textId="77777777" w:rsidR="002A671F" w:rsidRPr="002A671F" w:rsidRDefault="002A671F" w:rsidP="002A671F">
      <w:pPr>
        <w:autoSpaceDE w:val="0"/>
        <w:autoSpaceDN w:val="0"/>
        <w:adjustRightInd w:val="0"/>
        <w:rPr>
          <w:rFonts w:eastAsiaTheme="minorHAnsi" w:cs="Arial"/>
          <w:color w:val="000000"/>
          <w:szCs w:val="22"/>
          <w:lang w:val="en" w:eastAsia="en-US"/>
          <w:specVanish/>
        </w:rPr>
      </w:pPr>
    </w:p>
    <w:p w14:paraId="492106A1" w14:textId="77777777" w:rsidR="002A671F" w:rsidRPr="002A671F" w:rsidRDefault="002A671F" w:rsidP="006234A2">
      <w:pPr>
        <w:autoSpaceDE w:val="0"/>
        <w:autoSpaceDN w:val="0"/>
        <w:adjustRightInd w:val="0"/>
        <w:ind w:firstLine="360"/>
        <w:rPr>
          <w:rFonts w:eastAsiaTheme="minorHAnsi" w:cs="Arial"/>
          <w:color w:val="000000"/>
          <w:szCs w:val="22"/>
          <w:lang w:val="en" w:eastAsia="en-US"/>
          <w:specVanish/>
        </w:rPr>
      </w:pPr>
      <w:r w:rsidRPr="002A671F">
        <w:rPr>
          <w:rFonts w:eastAsiaTheme="minorHAnsi" w:cs="Arial"/>
          <w:color w:val="000000"/>
          <w:szCs w:val="22"/>
          <w:lang w:val="en" w:eastAsia="en-US"/>
        </w:rPr>
        <w:t>In carrying out its functions, a licensing authority must have also have regard to-</w:t>
      </w:r>
    </w:p>
    <w:p w14:paraId="492106A2" w14:textId="77777777" w:rsidR="002A671F" w:rsidRPr="002A671F" w:rsidRDefault="002A671F" w:rsidP="002A671F">
      <w:pPr>
        <w:autoSpaceDE w:val="0"/>
        <w:autoSpaceDN w:val="0"/>
        <w:adjustRightInd w:val="0"/>
        <w:rPr>
          <w:rFonts w:eastAsiaTheme="minorHAnsi" w:cs="Arial"/>
          <w:color w:val="000000"/>
          <w:szCs w:val="22"/>
          <w:lang w:val="en" w:eastAsia="en-US"/>
          <w:specVanish/>
        </w:rPr>
      </w:pPr>
    </w:p>
    <w:p w14:paraId="492106A3" w14:textId="77777777" w:rsidR="002A671F" w:rsidRPr="002A671F" w:rsidRDefault="002A671F" w:rsidP="002A671F">
      <w:pPr>
        <w:numPr>
          <w:ilvl w:val="0"/>
          <w:numId w:val="46"/>
        </w:num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 xml:space="preserve">Its </w:t>
      </w:r>
      <w:r w:rsidR="00C42294">
        <w:rPr>
          <w:rFonts w:eastAsiaTheme="minorHAnsi" w:cs="Arial"/>
          <w:color w:val="000000"/>
          <w:szCs w:val="22"/>
          <w:lang w:val="en" w:eastAsia="en-US"/>
        </w:rPr>
        <w:t xml:space="preserve">own </w:t>
      </w:r>
      <w:r w:rsidRPr="002A671F">
        <w:rPr>
          <w:rFonts w:eastAsiaTheme="minorHAnsi" w:cs="Arial"/>
          <w:color w:val="000000"/>
          <w:szCs w:val="22"/>
          <w:lang w:val="en" w:eastAsia="en-US"/>
        </w:rPr>
        <w:t xml:space="preserve">statement </w:t>
      </w:r>
      <w:r w:rsidR="00C42294">
        <w:rPr>
          <w:rFonts w:eastAsiaTheme="minorHAnsi" w:cs="Arial"/>
          <w:color w:val="000000"/>
          <w:szCs w:val="22"/>
          <w:lang w:val="en" w:eastAsia="en-US"/>
        </w:rPr>
        <w:t xml:space="preserve">policy </w:t>
      </w:r>
      <w:r w:rsidRPr="002A671F">
        <w:rPr>
          <w:rFonts w:eastAsiaTheme="minorHAnsi" w:cs="Arial"/>
          <w:color w:val="000000"/>
          <w:szCs w:val="22"/>
          <w:lang w:val="en" w:eastAsia="en-US"/>
        </w:rPr>
        <w:t xml:space="preserve">published under section 5, and </w:t>
      </w:r>
    </w:p>
    <w:p w14:paraId="492106A4" w14:textId="77777777" w:rsidR="002A671F" w:rsidRPr="002A671F" w:rsidRDefault="002A671F" w:rsidP="002A671F">
      <w:pPr>
        <w:numPr>
          <w:ilvl w:val="0"/>
          <w:numId w:val="46"/>
        </w:num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Any guidance issued by the Secretary of State under section 182.</w:t>
      </w:r>
    </w:p>
    <w:p w14:paraId="492106A5" w14:textId="77777777" w:rsidR="002A671F" w:rsidRPr="002A671F" w:rsidRDefault="002A671F" w:rsidP="002A671F">
      <w:pPr>
        <w:autoSpaceDE w:val="0"/>
        <w:autoSpaceDN w:val="0"/>
        <w:adjustRightInd w:val="0"/>
        <w:rPr>
          <w:rFonts w:eastAsiaTheme="minorHAnsi" w:cs="Arial"/>
          <w:color w:val="000000"/>
          <w:szCs w:val="22"/>
          <w:lang w:val="en" w:eastAsia="en-US"/>
          <w:specVanish/>
        </w:rPr>
      </w:pPr>
    </w:p>
    <w:p w14:paraId="492106A6" w14:textId="77777777" w:rsidR="002A671F" w:rsidRPr="002A671F" w:rsidRDefault="002A671F" w:rsidP="006234A2">
      <w:pPr>
        <w:autoSpaceDE w:val="0"/>
        <w:autoSpaceDN w:val="0"/>
        <w:adjustRightInd w:val="0"/>
        <w:ind w:firstLine="720"/>
        <w:rPr>
          <w:rFonts w:eastAsiaTheme="minorHAnsi" w:cs="Arial"/>
          <w:color w:val="000000"/>
          <w:szCs w:val="22"/>
          <w:lang w:val="en" w:eastAsia="en-US"/>
          <w:specVanish/>
        </w:rPr>
      </w:pPr>
      <w:r w:rsidRPr="002A671F">
        <w:rPr>
          <w:rFonts w:eastAsiaTheme="minorHAnsi" w:cs="Arial"/>
          <w:color w:val="000000"/>
          <w:szCs w:val="22"/>
          <w:lang w:val="en" w:eastAsia="en-US"/>
        </w:rPr>
        <w:t>Relevant paragraphs of the Section 182 guidance are found below;</w:t>
      </w:r>
    </w:p>
    <w:p w14:paraId="492106A7" w14:textId="77777777" w:rsidR="002A671F" w:rsidRPr="002A671F" w:rsidRDefault="002A671F" w:rsidP="002A671F">
      <w:pPr>
        <w:autoSpaceDE w:val="0"/>
        <w:autoSpaceDN w:val="0"/>
        <w:adjustRightInd w:val="0"/>
        <w:rPr>
          <w:rFonts w:eastAsiaTheme="minorHAnsi" w:cs="Arial"/>
          <w:color w:val="000000"/>
          <w:sz w:val="24"/>
          <w:szCs w:val="24"/>
          <w:lang w:eastAsia="en-US"/>
        </w:rPr>
      </w:pPr>
    </w:p>
    <w:p w14:paraId="492106A8" w14:textId="77777777" w:rsidR="002A671F" w:rsidRPr="00E352B4" w:rsidRDefault="0085389C" w:rsidP="002A671F">
      <w:pPr>
        <w:autoSpaceDE w:val="0"/>
        <w:autoSpaceDN w:val="0"/>
        <w:adjustRightInd w:val="0"/>
        <w:rPr>
          <w:rFonts w:eastAsiaTheme="minorHAnsi" w:cs="Arial"/>
          <w:i/>
          <w:color w:val="000000"/>
          <w:sz w:val="23"/>
          <w:szCs w:val="23"/>
          <w:lang w:eastAsia="en-US"/>
        </w:rPr>
      </w:pPr>
      <w:r w:rsidRPr="00E352B4">
        <w:rPr>
          <w:rFonts w:eastAsiaTheme="minorHAnsi" w:cs="Arial"/>
          <w:i/>
          <w:color w:val="000000"/>
          <w:sz w:val="23"/>
          <w:szCs w:val="23"/>
          <w:lang w:eastAsia="en-US"/>
        </w:rPr>
        <w:t>“</w:t>
      </w:r>
      <w:r w:rsidR="002A671F" w:rsidRPr="00E352B4">
        <w:rPr>
          <w:rFonts w:eastAsiaTheme="minorHAnsi" w:cs="Arial"/>
          <w:i/>
          <w:color w:val="000000"/>
          <w:sz w:val="23"/>
          <w:szCs w:val="23"/>
          <w:lang w:eastAsia="en-US"/>
        </w:rPr>
        <w:t xml:space="preserve">9.3 Where a representation concerning the licensing objectives is made by a responsible authority about a proposed operating schedule and it is relevant (see paragraphs 9.4 to 9.10 below), the licensing authority’s discretion will be engaged. It will also be engaged if another person makes relevant representations to the licensing authority, which are also not frivolous or vexatious (see paragraphs 9.4 to 9.10 below). Relevant representations can be made in opposition to, or in support of, an application and can be made by any individual, body or business that has grounds to do so. </w:t>
      </w:r>
    </w:p>
    <w:p w14:paraId="492106A9" w14:textId="77777777" w:rsidR="002A671F" w:rsidRPr="00E352B4" w:rsidRDefault="002A671F" w:rsidP="002A671F">
      <w:pPr>
        <w:autoSpaceDE w:val="0"/>
        <w:autoSpaceDN w:val="0"/>
        <w:adjustRightInd w:val="0"/>
        <w:rPr>
          <w:rFonts w:eastAsiaTheme="minorHAnsi" w:cs="Arial"/>
          <w:i/>
          <w:color w:val="000000"/>
          <w:sz w:val="24"/>
          <w:szCs w:val="24"/>
          <w:lang w:eastAsia="en-US"/>
        </w:rPr>
      </w:pPr>
    </w:p>
    <w:p w14:paraId="492106AA" w14:textId="77777777" w:rsidR="002A671F" w:rsidRPr="00E352B4" w:rsidRDefault="002A671F" w:rsidP="00E352B4">
      <w:pPr>
        <w:autoSpaceDE w:val="0"/>
        <w:autoSpaceDN w:val="0"/>
        <w:adjustRightInd w:val="0"/>
        <w:rPr>
          <w:rFonts w:eastAsiaTheme="minorHAnsi" w:cs="Arial"/>
          <w:i/>
          <w:color w:val="000000"/>
          <w:sz w:val="23"/>
          <w:szCs w:val="23"/>
          <w:lang w:eastAsia="en-US"/>
        </w:rPr>
      </w:pPr>
      <w:r w:rsidRPr="00E352B4">
        <w:rPr>
          <w:rFonts w:eastAsiaTheme="minorHAnsi" w:cs="Arial"/>
          <w:i/>
          <w:color w:val="000000"/>
          <w:sz w:val="23"/>
          <w:szCs w:val="23"/>
          <w:lang w:eastAsia="en-US"/>
        </w:rPr>
        <w:t>9.4</w:t>
      </w:r>
      <w:r w:rsidR="00C42294" w:rsidRPr="00E352B4">
        <w:rPr>
          <w:rFonts w:eastAsiaTheme="minorHAnsi" w:cs="Arial"/>
          <w:i/>
          <w:color w:val="000000"/>
          <w:sz w:val="23"/>
          <w:szCs w:val="23"/>
          <w:lang w:eastAsia="en-US"/>
        </w:rPr>
        <w:t xml:space="preserve"> </w:t>
      </w:r>
      <w:r w:rsidRPr="00E352B4">
        <w:rPr>
          <w:rFonts w:eastAsiaTheme="minorHAnsi" w:cs="Arial"/>
          <w:i/>
          <w:color w:val="000000"/>
          <w:sz w:val="23"/>
          <w:szCs w:val="23"/>
          <w:lang w:eastAsia="en-US"/>
        </w:rPr>
        <w:t>A representation is “relevant” if it relates to the likely effect of the grant of the licence on the promotion of at least one of the licensing objectives. For example, a representation from a local businessperson about the commercial damage caused by competition from new licensed premises would not be relevant. On the other hand, a representation by a businessperson that nuisance caused by new premises would deter customers from entering the local area, and the steps proposed by the applicant to prevent that nuisance were inadequate, would be relevant. In other words, representations should relate to the impact of licensable activities carried on from premises on the objectives</w:t>
      </w:r>
      <w:r w:rsidR="00C42294" w:rsidRPr="00E352B4">
        <w:rPr>
          <w:rFonts w:eastAsiaTheme="minorHAnsi" w:cs="Arial"/>
          <w:i/>
          <w:color w:val="000000"/>
          <w:sz w:val="23"/>
          <w:szCs w:val="23"/>
          <w:lang w:eastAsia="en-US"/>
        </w:rPr>
        <w:t>…..</w:t>
      </w:r>
      <w:r w:rsidRPr="00E352B4">
        <w:rPr>
          <w:rFonts w:eastAsiaTheme="minorHAnsi" w:cs="Arial"/>
          <w:i/>
          <w:color w:val="000000"/>
          <w:sz w:val="23"/>
          <w:szCs w:val="23"/>
          <w:lang w:eastAsia="en-US"/>
        </w:rPr>
        <w:t xml:space="preserve">There is no requirement for a responsible authority or other person to produce a recorded history of problems at premises to support their representations, and in fact this would not be possible for new premises. </w:t>
      </w:r>
    </w:p>
    <w:p w14:paraId="492106AB" w14:textId="77777777" w:rsidR="00C42294" w:rsidRPr="00E352B4" w:rsidRDefault="00C42294" w:rsidP="00E352B4">
      <w:pPr>
        <w:autoSpaceDE w:val="0"/>
        <w:autoSpaceDN w:val="0"/>
        <w:adjustRightInd w:val="0"/>
        <w:rPr>
          <w:rFonts w:eastAsiaTheme="minorHAnsi" w:cs="Arial"/>
          <w:i/>
          <w:color w:val="000000"/>
          <w:sz w:val="23"/>
          <w:szCs w:val="23"/>
          <w:lang w:eastAsia="en-US"/>
        </w:rPr>
      </w:pPr>
    </w:p>
    <w:p w14:paraId="492106AC" w14:textId="77777777" w:rsidR="002A671F" w:rsidRPr="00E352B4" w:rsidRDefault="002A671F" w:rsidP="002A671F">
      <w:pPr>
        <w:autoSpaceDE w:val="0"/>
        <w:autoSpaceDN w:val="0"/>
        <w:adjustRightInd w:val="0"/>
        <w:spacing w:after="182"/>
        <w:rPr>
          <w:rFonts w:eastAsiaTheme="minorHAnsi" w:cs="Arial"/>
          <w:i/>
          <w:color w:val="000000"/>
          <w:sz w:val="23"/>
          <w:szCs w:val="23"/>
          <w:lang w:eastAsia="en-US"/>
        </w:rPr>
      </w:pPr>
      <w:r w:rsidRPr="00E352B4">
        <w:rPr>
          <w:rFonts w:eastAsiaTheme="minorHAnsi" w:cs="Arial"/>
          <w:i/>
          <w:color w:val="000000"/>
          <w:sz w:val="23"/>
          <w:szCs w:val="23"/>
          <w:lang w:eastAsia="en-US"/>
        </w:rPr>
        <w:t xml:space="preserve">9.5 It is for the licensing authority to determine whether a representation (other than a representation from responsible authority) is frivolous or vexatious on the basis of what might ordinarily be considered to be vexatious or frivolous. A representation may be considered to be vexatious if it appears to be intended to cause aggravation or annoyance, whether to a competitor or other person, without reasonable cause or justification. Vexatious circumstances may arise because of disputes between rival businesses and local knowledge will therefore be invaluable in considering such matters. Licensing authorities can consider the main effect of the representation, and whether any inconvenience or expense caused by it could reasonably be considered to be proportionate. </w:t>
      </w:r>
    </w:p>
    <w:p w14:paraId="492106AD" w14:textId="77777777" w:rsidR="002A671F" w:rsidRPr="00E352B4" w:rsidRDefault="002A671F" w:rsidP="002A671F">
      <w:pPr>
        <w:autoSpaceDE w:val="0"/>
        <w:autoSpaceDN w:val="0"/>
        <w:adjustRightInd w:val="0"/>
        <w:rPr>
          <w:rFonts w:eastAsiaTheme="minorHAnsi" w:cs="Arial"/>
          <w:i/>
          <w:color w:val="000000"/>
          <w:sz w:val="23"/>
          <w:szCs w:val="23"/>
          <w:lang w:eastAsia="en-US"/>
        </w:rPr>
      </w:pPr>
      <w:r w:rsidRPr="00E352B4">
        <w:rPr>
          <w:rFonts w:eastAsiaTheme="minorHAnsi" w:cs="Arial"/>
          <w:i/>
          <w:color w:val="000000"/>
          <w:sz w:val="23"/>
          <w:szCs w:val="23"/>
          <w:lang w:eastAsia="en-US"/>
        </w:rPr>
        <w:t>9.6 Frivolous representations would be essentially categorised by a lack of seriousness. Frivolous representations would concern issues which, at most, are minor and in relation to which no remedial steps would be warranted or proportionate.</w:t>
      </w:r>
      <w:r w:rsidR="009A70B4" w:rsidRPr="00E352B4">
        <w:rPr>
          <w:rFonts w:eastAsiaTheme="minorHAnsi" w:cs="Arial"/>
          <w:i/>
          <w:color w:val="000000"/>
          <w:sz w:val="23"/>
          <w:szCs w:val="23"/>
          <w:lang w:eastAsia="en-US"/>
        </w:rPr>
        <w:t>”</w:t>
      </w:r>
    </w:p>
    <w:p w14:paraId="492106AE" w14:textId="77777777" w:rsidR="002A671F" w:rsidRPr="002A671F" w:rsidRDefault="002A671F" w:rsidP="002A671F">
      <w:pPr>
        <w:autoSpaceDE w:val="0"/>
        <w:autoSpaceDN w:val="0"/>
        <w:adjustRightInd w:val="0"/>
        <w:rPr>
          <w:rFonts w:eastAsiaTheme="minorHAnsi" w:cs="Arial"/>
          <w:color w:val="000000"/>
          <w:sz w:val="24"/>
          <w:szCs w:val="24"/>
          <w:lang w:eastAsia="en-US"/>
        </w:rPr>
      </w:pPr>
    </w:p>
    <w:p w14:paraId="492106AF" w14:textId="77777777" w:rsidR="002A671F" w:rsidRPr="002A671F" w:rsidRDefault="009A70B4" w:rsidP="006234A2">
      <w:pPr>
        <w:autoSpaceDE w:val="0"/>
        <w:autoSpaceDN w:val="0"/>
        <w:adjustRightInd w:val="0"/>
        <w:ind w:left="426" w:hanging="426"/>
        <w:rPr>
          <w:rFonts w:eastAsiaTheme="minorHAnsi" w:cs="Arial"/>
          <w:color w:val="000000"/>
          <w:sz w:val="23"/>
          <w:szCs w:val="23"/>
          <w:lang w:eastAsia="en-US"/>
        </w:rPr>
      </w:pPr>
      <w:r>
        <w:rPr>
          <w:rFonts w:eastAsiaTheme="minorHAnsi" w:cs="Arial"/>
          <w:color w:val="000000"/>
          <w:sz w:val="23"/>
          <w:szCs w:val="23"/>
          <w:lang w:eastAsia="en-US"/>
        </w:rPr>
        <w:t>7.2</w:t>
      </w:r>
      <w:r w:rsidR="00140A9E">
        <w:rPr>
          <w:rFonts w:eastAsiaTheme="minorHAnsi" w:cs="Arial"/>
          <w:color w:val="000000"/>
          <w:sz w:val="23"/>
          <w:szCs w:val="23"/>
          <w:lang w:eastAsia="en-US"/>
        </w:rPr>
        <w:tab/>
      </w:r>
      <w:r w:rsidR="002A671F" w:rsidRPr="002A671F">
        <w:rPr>
          <w:rFonts w:eastAsiaTheme="minorHAnsi" w:cs="Arial"/>
          <w:color w:val="000000"/>
          <w:sz w:val="23"/>
          <w:szCs w:val="23"/>
          <w:lang w:eastAsia="en-US"/>
        </w:rPr>
        <w:t xml:space="preserve">Each responsible authority will be an expert in their respective field, and in some cases it is likely that a particular responsible authority will be the licensing authority’s main source of advice in relation to a particular licensing </w:t>
      </w:r>
      <w:r w:rsidR="00E352B4" w:rsidRPr="002A671F">
        <w:rPr>
          <w:rFonts w:eastAsiaTheme="minorHAnsi" w:cs="Arial"/>
          <w:color w:val="000000"/>
          <w:sz w:val="23"/>
          <w:szCs w:val="23"/>
          <w:lang w:eastAsia="en-US"/>
        </w:rPr>
        <w:t>objective</w:t>
      </w:r>
      <w:r w:rsidR="00E352B4">
        <w:rPr>
          <w:rFonts w:eastAsiaTheme="minorHAnsi" w:cs="Arial"/>
          <w:color w:val="000000"/>
          <w:sz w:val="23"/>
          <w:szCs w:val="23"/>
          <w:lang w:eastAsia="en-US"/>
        </w:rPr>
        <w:t>.</w:t>
      </w:r>
      <w:r w:rsidR="00E352B4" w:rsidRPr="002A671F">
        <w:rPr>
          <w:rFonts w:eastAsiaTheme="minorHAnsi" w:cs="Arial"/>
          <w:color w:val="000000"/>
          <w:sz w:val="23"/>
          <w:szCs w:val="23"/>
          <w:lang w:eastAsia="en-US"/>
        </w:rPr>
        <w:t xml:space="preserve"> However</w:t>
      </w:r>
      <w:r w:rsidR="002A671F" w:rsidRPr="002A671F">
        <w:rPr>
          <w:rFonts w:eastAsiaTheme="minorHAnsi" w:cs="Arial"/>
          <w:color w:val="000000"/>
          <w:sz w:val="23"/>
          <w:szCs w:val="23"/>
          <w:lang w:eastAsia="en-US"/>
        </w:rPr>
        <w:t xml:space="preserve">, any responsible authority under the 2003 Act may make representations with regard to any of the licensing objectives if they have evidence to support such representations. Licensing authorities must therefore consider all relevant representations from responsible authorities carefully, even where the reason for a particular responsible authority’s interest or expertise in the promotion of a particular objective may not be immediately apparent. However, it remains incumbent on all responsible authorities to ensure that their representations can withstand the scrutiny to which they would be subject at a hearing. </w:t>
      </w:r>
    </w:p>
    <w:p w14:paraId="492106B0" w14:textId="77777777" w:rsidR="002A671F" w:rsidRPr="002A671F" w:rsidRDefault="002A671F" w:rsidP="002A671F">
      <w:pPr>
        <w:autoSpaceDE w:val="0"/>
        <w:autoSpaceDN w:val="0"/>
        <w:adjustRightInd w:val="0"/>
        <w:rPr>
          <w:rFonts w:eastAsiaTheme="minorHAnsi" w:cs="Arial"/>
          <w:color w:val="000000"/>
          <w:sz w:val="23"/>
          <w:szCs w:val="23"/>
          <w:lang w:eastAsia="en-US"/>
        </w:rPr>
      </w:pPr>
    </w:p>
    <w:p w14:paraId="492106B1" w14:textId="77777777" w:rsidR="002A671F" w:rsidRPr="002A671F" w:rsidRDefault="002A671F" w:rsidP="002A671F">
      <w:pPr>
        <w:jc w:val="both"/>
        <w:rPr>
          <w:rFonts w:cs="Arial"/>
          <w:color w:val="000000"/>
          <w:sz w:val="18"/>
          <w:szCs w:val="18"/>
          <w:lang w:val="en"/>
        </w:rPr>
      </w:pPr>
    </w:p>
    <w:p w14:paraId="492106B2" w14:textId="77777777" w:rsidR="002A671F" w:rsidRPr="002A671F" w:rsidRDefault="002A671F" w:rsidP="002A671F">
      <w:pPr>
        <w:ind w:left="426" w:hanging="426"/>
        <w:jc w:val="both"/>
        <w:rPr>
          <w:rFonts w:cs="Arial"/>
          <w:szCs w:val="22"/>
        </w:rPr>
      </w:pPr>
      <w:r w:rsidRPr="002A671F">
        <w:rPr>
          <w:rFonts w:cs="Arial"/>
          <w:szCs w:val="22"/>
        </w:rPr>
        <w:lastRenderedPageBreak/>
        <w:t>7.</w:t>
      </w:r>
      <w:r w:rsidR="009A70B4">
        <w:rPr>
          <w:rFonts w:cs="Arial"/>
          <w:szCs w:val="22"/>
        </w:rPr>
        <w:t>3</w:t>
      </w:r>
      <w:r w:rsidRPr="002A671F">
        <w:rPr>
          <w:rFonts w:cs="Arial"/>
          <w:szCs w:val="22"/>
        </w:rPr>
        <w:t xml:space="preserve"> </w:t>
      </w:r>
      <w:r w:rsidR="0085389C">
        <w:rPr>
          <w:rFonts w:cs="Arial"/>
          <w:szCs w:val="22"/>
        </w:rPr>
        <w:t>Panel</w:t>
      </w:r>
      <w:r w:rsidRPr="002A671F">
        <w:rPr>
          <w:rFonts w:cs="Arial"/>
          <w:szCs w:val="22"/>
        </w:rPr>
        <w:t xml:space="preserve"> members are requested to consider the evidence and to determine whether or not the application should be granted with or without modifications or rejected.</w:t>
      </w:r>
    </w:p>
    <w:p w14:paraId="492106B3" w14:textId="77777777" w:rsidR="002A671F" w:rsidRPr="002A671F" w:rsidRDefault="002A671F" w:rsidP="002A671F">
      <w:pPr>
        <w:jc w:val="both"/>
        <w:rPr>
          <w:rFonts w:cs="Arial"/>
          <w:szCs w:val="22"/>
        </w:rPr>
      </w:pPr>
    </w:p>
    <w:p w14:paraId="492106B4" w14:textId="77777777" w:rsidR="002A671F" w:rsidRPr="002A671F" w:rsidRDefault="002A671F" w:rsidP="00C42294">
      <w:pPr>
        <w:jc w:val="both"/>
        <w:rPr>
          <w:rFonts w:cs="Arial"/>
          <w:szCs w:val="22"/>
        </w:rPr>
      </w:pPr>
      <w:r w:rsidRPr="002A671F">
        <w:rPr>
          <w:rFonts w:cs="Arial"/>
          <w:szCs w:val="22"/>
        </w:rPr>
        <w:t>7.</w:t>
      </w:r>
      <w:r w:rsidR="009A70B4">
        <w:rPr>
          <w:rFonts w:cs="Arial"/>
          <w:szCs w:val="22"/>
        </w:rPr>
        <w:t>4</w:t>
      </w:r>
      <w:r w:rsidRPr="002A671F">
        <w:rPr>
          <w:rFonts w:cs="Arial"/>
          <w:szCs w:val="22"/>
        </w:rPr>
        <w:t xml:space="preserve"> The </w:t>
      </w:r>
      <w:r w:rsidR="0085389C">
        <w:rPr>
          <w:rFonts w:cs="Arial"/>
          <w:szCs w:val="22"/>
        </w:rPr>
        <w:t>panel</w:t>
      </w:r>
      <w:r w:rsidRPr="002A671F">
        <w:rPr>
          <w:rFonts w:cs="Arial"/>
          <w:szCs w:val="22"/>
        </w:rPr>
        <w:t xml:space="preserve"> must have regard to:</w:t>
      </w:r>
    </w:p>
    <w:p w14:paraId="492106B5" w14:textId="77777777" w:rsidR="002A671F" w:rsidRPr="002A671F" w:rsidRDefault="002A671F" w:rsidP="00C42294">
      <w:pPr>
        <w:jc w:val="both"/>
        <w:rPr>
          <w:rFonts w:cs="Arial"/>
          <w:szCs w:val="22"/>
        </w:rPr>
      </w:pPr>
    </w:p>
    <w:p w14:paraId="492106B6" w14:textId="77777777" w:rsidR="002A671F" w:rsidRPr="002A671F" w:rsidRDefault="002A671F" w:rsidP="00C42294">
      <w:pPr>
        <w:numPr>
          <w:ilvl w:val="0"/>
          <w:numId w:val="45"/>
        </w:numPr>
        <w:contextualSpacing/>
        <w:jc w:val="both"/>
        <w:rPr>
          <w:rFonts w:cs="Arial"/>
          <w:szCs w:val="22"/>
        </w:rPr>
      </w:pPr>
      <w:r w:rsidRPr="002A671F">
        <w:rPr>
          <w:rFonts w:cs="Arial"/>
          <w:szCs w:val="22"/>
        </w:rPr>
        <w:t>Its own policy; and</w:t>
      </w:r>
    </w:p>
    <w:p w14:paraId="492106B7" w14:textId="77777777" w:rsidR="002A671F" w:rsidRPr="002A671F" w:rsidRDefault="002A671F" w:rsidP="00C42294">
      <w:pPr>
        <w:numPr>
          <w:ilvl w:val="0"/>
          <w:numId w:val="45"/>
        </w:numPr>
        <w:contextualSpacing/>
        <w:jc w:val="both"/>
        <w:rPr>
          <w:rFonts w:cs="Arial"/>
          <w:szCs w:val="22"/>
        </w:rPr>
      </w:pPr>
      <w:r w:rsidRPr="002A671F">
        <w:rPr>
          <w:rFonts w:cs="Arial"/>
          <w:szCs w:val="22"/>
        </w:rPr>
        <w:t>Secretary of State guidance (section 182 of the Licensing Act 2003).</w:t>
      </w:r>
    </w:p>
    <w:p w14:paraId="492106B8" w14:textId="77777777" w:rsidR="002A671F" w:rsidRDefault="002A671F" w:rsidP="00F4022F">
      <w:pPr>
        <w:rPr>
          <w:rFonts w:cs="Arial"/>
          <w:b/>
          <w:szCs w:val="22"/>
        </w:rPr>
      </w:pPr>
    </w:p>
    <w:p w14:paraId="492106B9" w14:textId="77777777" w:rsidR="00F43895" w:rsidRPr="00F4022F" w:rsidRDefault="002A671F" w:rsidP="00F4022F">
      <w:pPr>
        <w:rPr>
          <w:rFonts w:cs="Arial"/>
          <w:b/>
          <w:szCs w:val="22"/>
        </w:rPr>
      </w:pPr>
      <w:r>
        <w:rPr>
          <w:rFonts w:cs="Arial"/>
          <w:b/>
          <w:szCs w:val="22"/>
        </w:rPr>
        <w:t>8.</w:t>
      </w:r>
      <w:r w:rsidR="00F43895" w:rsidRPr="00F4022F">
        <w:rPr>
          <w:rFonts w:cs="Arial"/>
          <w:b/>
          <w:szCs w:val="22"/>
        </w:rPr>
        <w:t xml:space="preserve">    </w:t>
      </w:r>
      <w:r w:rsidR="00F43895" w:rsidRPr="00F4022F">
        <w:rPr>
          <w:rFonts w:cs="Arial"/>
          <w:b/>
          <w:caps/>
          <w:szCs w:val="22"/>
        </w:rPr>
        <w:t>Financial implications</w:t>
      </w:r>
    </w:p>
    <w:p w14:paraId="492106BA" w14:textId="77777777" w:rsidR="00F43895" w:rsidRPr="00F4022F" w:rsidRDefault="00F43895" w:rsidP="00F4022F">
      <w:pPr>
        <w:ind w:left="567"/>
        <w:rPr>
          <w:rFonts w:cs="Arial"/>
          <w:b/>
          <w:caps/>
          <w:szCs w:val="22"/>
        </w:rPr>
      </w:pPr>
    </w:p>
    <w:p w14:paraId="492106BB" w14:textId="77777777" w:rsidR="00F43895" w:rsidRDefault="002A671F" w:rsidP="00F4022F">
      <w:pPr>
        <w:rPr>
          <w:rFonts w:cs="Arial"/>
          <w:b/>
          <w:szCs w:val="22"/>
        </w:rPr>
      </w:pPr>
      <w:r>
        <w:rPr>
          <w:rFonts w:cs="Arial"/>
        </w:rPr>
        <w:t>8.</w:t>
      </w:r>
      <w:r w:rsidR="002E3A51" w:rsidRPr="00604A18">
        <w:rPr>
          <w:rFonts w:cs="Arial"/>
        </w:rPr>
        <w:t>1</w:t>
      </w:r>
      <w:r w:rsidR="00837748" w:rsidRPr="00604A18">
        <w:rPr>
          <w:rFonts w:cs="Arial"/>
        </w:rPr>
        <w:t xml:space="preserve"> T</w:t>
      </w:r>
      <w:r w:rsidR="00837748" w:rsidRPr="00837748">
        <w:rPr>
          <w:rFonts w:cs="Arial"/>
          <w:szCs w:val="22"/>
        </w:rPr>
        <w:t xml:space="preserve">here </w:t>
      </w:r>
      <w:r w:rsidR="00837748" w:rsidRPr="002E3A51">
        <w:rPr>
          <w:rFonts w:cs="Arial"/>
          <w:szCs w:val="22"/>
        </w:rPr>
        <w:t xml:space="preserve">are no direct </w:t>
      </w:r>
      <w:r w:rsidR="00837748">
        <w:rPr>
          <w:rFonts w:cs="Arial"/>
          <w:szCs w:val="22"/>
        </w:rPr>
        <w:t>financial imp</w:t>
      </w:r>
      <w:r w:rsidR="00837748" w:rsidRPr="002E3A51">
        <w:rPr>
          <w:rFonts w:cs="Arial"/>
          <w:szCs w:val="22"/>
        </w:rPr>
        <w:t>lications arising from this report</w:t>
      </w:r>
      <w:r w:rsidR="00837748">
        <w:rPr>
          <w:rFonts w:cs="Arial"/>
          <w:szCs w:val="22"/>
        </w:rPr>
        <w:t>.</w:t>
      </w:r>
      <w:r w:rsidR="00837748" w:rsidRPr="002E3A51">
        <w:rPr>
          <w:rFonts w:cs="Arial"/>
          <w:color w:val="FF0000"/>
        </w:rPr>
        <w:t xml:space="preserve"> </w:t>
      </w:r>
      <w:r w:rsidR="00837748">
        <w:rPr>
          <w:rFonts w:cs="Arial"/>
          <w:color w:val="FF0000"/>
        </w:rPr>
        <w:t xml:space="preserve"> </w:t>
      </w:r>
    </w:p>
    <w:p w14:paraId="492106BC" w14:textId="77777777" w:rsidR="00837748" w:rsidRPr="00F4022F" w:rsidRDefault="00837748" w:rsidP="00F4022F">
      <w:pPr>
        <w:rPr>
          <w:rFonts w:cs="Arial"/>
          <w:b/>
          <w:szCs w:val="22"/>
        </w:rPr>
      </w:pPr>
    </w:p>
    <w:p w14:paraId="492106BD" w14:textId="77777777" w:rsidR="00F43895" w:rsidRPr="00F4022F" w:rsidRDefault="002A671F" w:rsidP="00F4022F">
      <w:pPr>
        <w:rPr>
          <w:rFonts w:cs="Arial"/>
          <w:caps/>
          <w:szCs w:val="22"/>
        </w:rPr>
      </w:pPr>
      <w:r>
        <w:rPr>
          <w:rFonts w:cs="Arial"/>
          <w:b/>
          <w:caps/>
          <w:szCs w:val="22"/>
        </w:rPr>
        <w:t>9</w:t>
      </w:r>
      <w:r w:rsidR="00F43895" w:rsidRPr="00F4022F">
        <w:rPr>
          <w:rFonts w:cs="Arial"/>
          <w:b/>
          <w:caps/>
          <w:szCs w:val="22"/>
        </w:rPr>
        <w:t>.    LEGAL IMPLICATIONS</w:t>
      </w:r>
    </w:p>
    <w:p w14:paraId="492106BE" w14:textId="77777777" w:rsidR="00F43895" w:rsidRPr="00F4022F" w:rsidRDefault="00F43895" w:rsidP="00F4022F">
      <w:pPr>
        <w:rPr>
          <w:rFonts w:cs="Arial"/>
          <w:caps/>
          <w:szCs w:val="22"/>
        </w:rPr>
      </w:pPr>
    </w:p>
    <w:p w14:paraId="492106BF" w14:textId="77777777" w:rsidR="0085389C" w:rsidRDefault="002A671F" w:rsidP="0085389C">
      <w:r>
        <w:rPr>
          <w:rFonts w:cs="Arial"/>
          <w:caps/>
          <w:szCs w:val="22"/>
        </w:rPr>
        <w:t>9</w:t>
      </w:r>
      <w:r w:rsidR="0017294F" w:rsidRPr="00604A18">
        <w:rPr>
          <w:rFonts w:cs="Arial"/>
          <w:caps/>
          <w:szCs w:val="22"/>
        </w:rPr>
        <w:t>.1</w:t>
      </w:r>
      <w:r w:rsidR="0017294F">
        <w:rPr>
          <w:rFonts w:cs="Arial"/>
          <w:b/>
          <w:caps/>
          <w:szCs w:val="22"/>
        </w:rPr>
        <w:t xml:space="preserve"> </w:t>
      </w:r>
      <w:r w:rsidR="0085389C" w:rsidRPr="0085389C">
        <w:t xml:space="preserve"> </w:t>
      </w:r>
      <w:r w:rsidR="0085389C">
        <w:t xml:space="preserve">The Licensing Authority are under a statutory duty to facilitate </w:t>
      </w:r>
      <w:r w:rsidR="009A70B4">
        <w:t>the h</w:t>
      </w:r>
      <w:r w:rsidR="0085389C">
        <w:t xml:space="preserve">earing.  </w:t>
      </w:r>
      <w:r w:rsidR="0085389C" w:rsidRPr="008B2259">
        <w:t>When determining this hearing the Council must comply with the rules of natural justice.</w:t>
      </w:r>
    </w:p>
    <w:p w14:paraId="492106C0" w14:textId="77777777" w:rsidR="0085389C" w:rsidRPr="008B2259" w:rsidRDefault="0085389C" w:rsidP="0085389C"/>
    <w:p w14:paraId="492106C1" w14:textId="77777777" w:rsidR="0085389C" w:rsidRDefault="0085389C" w:rsidP="0085389C">
      <w:r w:rsidRPr="008B2259">
        <w:t>A</w:t>
      </w:r>
      <w:r>
        <w:t xml:space="preserve">ny party at the hearing has a right to </w:t>
      </w:r>
      <w:r w:rsidRPr="008B2259">
        <w:t xml:space="preserve">appeal </w:t>
      </w:r>
      <w:r>
        <w:t xml:space="preserve">the decision </w:t>
      </w:r>
      <w:r w:rsidRPr="008B2259">
        <w:t>to the Magistrates Court.</w:t>
      </w:r>
    </w:p>
    <w:p w14:paraId="492106C2" w14:textId="77777777" w:rsidR="0017294F" w:rsidRPr="00F4022F" w:rsidRDefault="0017294F" w:rsidP="0017294F">
      <w:pPr>
        <w:rPr>
          <w:rFonts w:cs="Arial"/>
          <w:b/>
          <w:szCs w:val="22"/>
        </w:rPr>
      </w:pPr>
    </w:p>
    <w:p w14:paraId="492106C3" w14:textId="77777777" w:rsidR="00745026" w:rsidRPr="00F4022F" w:rsidRDefault="00745026" w:rsidP="00F4022F">
      <w:pPr>
        <w:rPr>
          <w:rFonts w:cs="Arial"/>
          <w:b/>
          <w:caps/>
          <w:szCs w:val="22"/>
        </w:rPr>
      </w:pPr>
    </w:p>
    <w:p w14:paraId="492106C4" w14:textId="77777777" w:rsidR="00F43895" w:rsidRPr="00F4022F" w:rsidRDefault="0085389C" w:rsidP="00F4022F">
      <w:pPr>
        <w:rPr>
          <w:rFonts w:cs="Arial"/>
          <w:b/>
          <w:szCs w:val="22"/>
        </w:rPr>
      </w:pPr>
      <w:r>
        <w:rPr>
          <w:rFonts w:cs="Arial"/>
          <w:b/>
          <w:szCs w:val="22"/>
        </w:rPr>
        <w:t>10</w:t>
      </w:r>
      <w:r w:rsidR="00F43895" w:rsidRPr="00F4022F">
        <w:rPr>
          <w:rFonts w:cs="Arial"/>
          <w:b/>
          <w:szCs w:val="22"/>
        </w:rPr>
        <w:t>.  COMMENTS OF THE STATUTORY FINANCE OFFICER</w:t>
      </w:r>
    </w:p>
    <w:p w14:paraId="492106C5" w14:textId="77777777" w:rsidR="00BE2A3F" w:rsidRPr="00F4022F" w:rsidRDefault="00BE2A3F" w:rsidP="00F4022F">
      <w:pPr>
        <w:rPr>
          <w:rFonts w:cs="Arial"/>
          <w:b/>
          <w:szCs w:val="22"/>
        </w:rPr>
      </w:pPr>
    </w:p>
    <w:p w14:paraId="492106C6" w14:textId="77777777" w:rsidR="006234A2" w:rsidRDefault="0085389C" w:rsidP="006234A2">
      <w:pPr>
        <w:rPr>
          <w:rFonts w:cs="Arial"/>
          <w:szCs w:val="22"/>
        </w:rPr>
      </w:pPr>
      <w:r>
        <w:rPr>
          <w:rFonts w:cs="Arial"/>
          <w:szCs w:val="22"/>
        </w:rPr>
        <w:t>10</w:t>
      </w:r>
      <w:r w:rsidR="00BE2A3F" w:rsidRPr="00F4022F">
        <w:rPr>
          <w:rFonts w:cs="Arial"/>
          <w:szCs w:val="22"/>
        </w:rPr>
        <w:t xml:space="preserve">.1  </w:t>
      </w:r>
      <w:r w:rsidR="006234A2">
        <w:rPr>
          <w:rFonts w:cs="Arial"/>
        </w:rPr>
        <w:t>T</w:t>
      </w:r>
      <w:r w:rsidR="006234A2">
        <w:rPr>
          <w:rFonts w:cs="Arial"/>
          <w:szCs w:val="22"/>
        </w:rPr>
        <w:t xml:space="preserve">here are no direct financial implications for the Council arising from this report. </w:t>
      </w:r>
    </w:p>
    <w:p w14:paraId="492106C7" w14:textId="77777777" w:rsidR="003F0035" w:rsidRPr="00F4022F" w:rsidRDefault="003F0035" w:rsidP="00A87399">
      <w:pPr>
        <w:ind w:left="426" w:hanging="426"/>
        <w:rPr>
          <w:rFonts w:cs="Arial"/>
          <w:b/>
          <w:i/>
          <w:szCs w:val="22"/>
        </w:rPr>
      </w:pPr>
    </w:p>
    <w:p w14:paraId="492106C8" w14:textId="77777777" w:rsidR="00F43895" w:rsidRDefault="006234A2" w:rsidP="00F4022F">
      <w:pPr>
        <w:rPr>
          <w:rFonts w:cs="Arial"/>
          <w:b/>
          <w:szCs w:val="22"/>
        </w:rPr>
      </w:pPr>
      <w:r>
        <w:rPr>
          <w:rFonts w:cs="Arial"/>
          <w:b/>
          <w:szCs w:val="22"/>
        </w:rPr>
        <w:t>11</w:t>
      </w:r>
      <w:r w:rsidR="00BE2A3F" w:rsidRPr="00F4022F">
        <w:rPr>
          <w:rFonts w:cs="Arial"/>
          <w:b/>
          <w:szCs w:val="22"/>
        </w:rPr>
        <w:t xml:space="preserve">.  </w:t>
      </w:r>
      <w:r w:rsidR="00F43895" w:rsidRPr="00F4022F">
        <w:rPr>
          <w:rFonts w:cs="Arial"/>
          <w:b/>
          <w:szCs w:val="22"/>
        </w:rPr>
        <w:t>COMMENTS OF THE MONITORING OFFICER</w:t>
      </w:r>
    </w:p>
    <w:p w14:paraId="492106C9" w14:textId="77777777" w:rsidR="00140A9E" w:rsidRPr="00F4022F" w:rsidRDefault="0039431C" w:rsidP="00F4022F">
      <w:pPr>
        <w:rPr>
          <w:rFonts w:cs="Arial"/>
          <w:b/>
          <w:szCs w:val="22"/>
        </w:rPr>
      </w:pPr>
      <w:r>
        <w:rPr>
          <w:rFonts w:cs="Arial"/>
          <w:b/>
          <w:szCs w:val="22"/>
        </w:rPr>
        <w:t xml:space="preserve"> </w:t>
      </w:r>
    </w:p>
    <w:p w14:paraId="492106CA" w14:textId="77777777" w:rsidR="006D748F" w:rsidRPr="00F4022F" w:rsidRDefault="00157CC1" w:rsidP="006234A2">
      <w:pPr>
        <w:ind w:firstLine="720"/>
        <w:rPr>
          <w:rFonts w:cs="Arial"/>
          <w:b/>
          <w:szCs w:val="22"/>
        </w:rPr>
      </w:pPr>
      <w:r>
        <w:rPr>
          <w:rFonts w:cs="Arial"/>
          <w:b/>
          <w:szCs w:val="22"/>
        </w:rPr>
        <w:t>Please refer to the comments at 9.1.</w:t>
      </w:r>
    </w:p>
    <w:p w14:paraId="492106CB" w14:textId="77777777" w:rsidR="00745026" w:rsidRPr="00F4022F" w:rsidRDefault="00745026" w:rsidP="00F4022F">
      <w:pPr>
        <w:ind w:left="567" w:hanging="567"/>
        <w:rPr>
          <w:rFonts w:cs="Arial"/>
          <w:b/>
          <w:strike/>
          <w:szCs w:val="22"/>
        </w:rPr>
      </w:pPr>
    </w:p>
    <w:p w14:paraId="492106CC" w14:textId="77777777" w:rsidR="000B5251" w:rsidRPr="00F4022F" w:rsidRDefault="006D748F" w:rsidP="00F4022F">
      <w:pPr>
        <w:rPr>
          <w:rFonts w:cs="Arial"/>
          <w:b/>
          <w:szCs w:val="22"/>
        </w:rPr>
      </w:pPr>
      <w:r w:rsidRPr="00F4022F">
        <w:rPr>
          <w:rFonts w:cs="Arial"/>
          <w:b/>
          <w:szCs w:val="22"/>
        </w:rPr>
        <w:t>1</w:t>
      </w:r>
      <w:r w:rsidR="0085389C">
        <w:rPr>
          <w:rFonts w:cs="Arial"/>
          <w:b/>
          <w:szCs w:val="22"/>
        </w:rPr>
        <w:t>1</w:t>
      </w:r>
      <w:r w:rsidR="000C24D0" w:rsidRPr="00F4022F">
        <w:rPr>
          <w:rFonts w:cs="Arial"/>
          <w:b/>
          <w:szCs w:val="22"/>
        </w:rPr>
        <w:t xml:space="preserve">.  </w:t>
      </w:r>
      <w:r w:rsidR="000B5251" w:rsidRPr="00F4022F">
        <w:rPr>
          <w:rFonts w:cs="Arial"/>
          <w:b/>
          <w:szCs w:val="22"/>
        </w:rPr>
        <w:t xml:space="preserve">OTHER IMPLICATIONS: </w:t>
      </w:r>
    </w:p>
    <w:p w14:paraId="492106CD" w14:textId="77777777" w:rsidR="003C36EB" w:rsidRPr="00F4022F" w:rsidRDefault="003C36EB" w:rsidP="00F4022F">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066"/>
      </w:tblGrid>
      <w:tr w:rsidR="002F5C5E" w:rsidRPr="00F4022F" w14:paraId="492106EF" w14:textId="77777777" w:rsidTr="00C7602F">
        <w:trPr>
          <w:trHeight w:val="334"/>
        </w:trPr>
        <w:tc>
          <w:tcPr>
            <w:tcW w:w="3857" w:type="dxa"/>
            <w:shd w:val="clear" w:color="auto" w:fill="auto"/>
          </w:tcPr>
          <w:p w14:paraId="492106CE" w14:textId="77777777" w:rsidR="002F5C5E" w:rsidRPr="00F4022F" w:rsidRDefault="002F5C5E" w:rsidP="00F4022F">
            <w:pPr>
              <w:rPr>
                <w:rFonts w:cs="Arial"/>
                <w:b/>
                <w:szCs w:val="22"/>
              </w:rPr>
            </w:pPr>
          </w:p>
          <w:p w14:paraId="492106CF" w14:textId="77777777" w:rsidR="00A56681" w:rsidRPr="00F4022F" w:rsidRDefault="00A56681" w:rsidP="00F4022F">
            <w:pPr>
              <w:numPr>
                <w:ilvl w:val="0"/>
                <w:numId w:val="11"/>
              </w:numPr>
              <w:ind w:left="360"/>
              <w:rPr>
                <w:rFonts w:cs="Arial"/>
                <w:b/>
                <w:szCs w:val="22"/>
              </w:rPr>
            </w:pPr>
            <w:r w:rsidRPr="00F4022F">
              <w:rPr>
                <w:rFonts w:cs="Arial"/>
                <w:b/>
                <w:szCs w:val="22"/>
              </w:rPr>
              <w:t xml:space="preserve">HR &amp; Organisational Development </w:t>
            </w:r>
          </w:p>
          <w:p w14:paraId="492106D1" w14:textId="77777777" w:rsidR="00A56681" w:rsidRPr="00F4022F" w:rsidRDefault="00A56681" w:rsidP="00F4022F">
            <w:pPr>
              <w:numPr>
                <w:ilvl w:val="0"/>
                <w:numId w:val="11"/>
              </w:numPr>
              <w:ind w:left="360"/>
              <w:rPr>
                <w:rFonts w:cs="Arial"/>
                <w:b/>
                <w:szCs w:val="22"/>
              </w:rPr>
            </w:pPr>
            <w:r w:rsidRPr="00F4022F">
              <w:rPr>
                <w:rFonts w:cs="Arial"/>
                <w:b/>
                <w:szCs w:val="22"/>
              </w:rPr>
              <w:t>ICT / Technology</w:t>
            </w:r>
          </w:p>
          <w:p w14:paraId="492106D4" w14:textId="77777777" w:rsidR="00A56681" w:rsidRDefault="00A56681" w:rsidP="00F4022F">
            <w:pPr>
              <w:numPr>
                <w:ilvl w:val="0"/>
                <w:numId w:val="11"/>
              </w:numPr>
              <w:ind w:left="360"/>
              <w:rPr>
                <w:rFonts w:cs="Arial"/>
                <w:b/>
                <w:szCs w:val="22"/>
              </w:rPr>
            </w:pPr>
            <w:r w:rsidRPr="00F4022F">
              <w:rPr>
                <w:rFonts w:cs="Arial"/>
                <w:b/>
                <w:szCs w:val="22"/>
              </w:rPr>
              <w:t>Property &amp; Asset Management</w:t>
            </w:r>
          </w:p>
          <w:p w14:paraId="492106D8" w14:textId="77777777" w:rsidR="002F5C5E" w:rsidRPr="00F4022F" w:rsidRDefault="00A56681" w:rsidP="00F4022F">
            <w:pPr>
              <w:numPr>
                <w:ilvl w:val="0"/>
                <w:numId w:val="11"/>
              </w:numPr>
              <w:ind w:left="360"/>
              <w:rPr>
                <w:rFonts w:cs="Arial"/>
                <w:b/>
                <w:szCs w:val="22"/>
              </w:rPr>
            </w:pPr>
            <w:r w:rsidRPr="00F4022F">
              <w:rPr>
                <w:rFonts w:cs="Arial"/>
                <w:b/>
                <w:szCs w:val="22"/>
              </w:rPr>
              <w:t xml:space="preserve">Risk </w:t>
            </w:r>
          </w:p>
          <w:p w14:paraId="492106DD" w14:textId="77777777" w:rsidR="002F5C5E" w:rsidRPr="00F4022F" w:rsidRDefault="00A56681" w:rsidP="00F4022F">
            <w:pPr>
              <w:numPr>
                <w:ilvl w:val="0"/>
                <w:numId w:val="11"/>
              </w:numPr>
              <w:ind w:left="360"/>
              <w:rPr>
                <w:rFonts w:cs="Arial"/>
                <w:b/>
                <w:szCs w:val="22"/>
              </w:rPr>
            </w:pPr>
            <w:r w:rsidRPr="00F4022F">
              <w:rPr>
                <w:rFonts w:cs="Arial"/>
                <w:b/>
                <w:szCs w:val="22"/>
              </w:rPr>
              <w:t xml:space="preserve">Equality &amp; Diversity </w:t>
            </w:r>
          </w:p>
          <w:p w14:paraId="492106DF" w14:textId="77777777" w:rsidR="002F5C5E" w:rsidRPr="00F4022F" w:rsidRDefault="002F5C5E" w:rsidP="00F4022F">
            <w:pPr>
              <w:rPr>
                <w:rFonts w:cs="Arial"/>
                <w:szCs w:val="22"/>
              </w:rPr>
            </w:pPr>
            <w:bookmarkStart w:id="0" w:name="_GoBack"/>
            <w:bookmarkEnd w:id="0"/>
          </w:p>
        </w:tc>
        <w:tc>
          <w:tcPr>
            <w:tcW w:w="6066" w:type="dxa"/>
            <w:shd w:val="clear" w:color="auto" w:fill="auto"/>
          </w:tcPr>
          <w:p w14:paraId="492106E0" w14:textId="77777777" w:rsidR="002F5C5E" w:rsidRPr="00F4022F" w:rsidRDefault="002F5C5E" w:rsidP="00F4022F">
            <w:pPr>
              <w:rPr>
                <w:rFonts w:cs="Arial"/>
                <w:szCs w:val="22"/>
              </w:rPr>
            </w:pPr>
          </w:p>
          <w:p w14:paraId="492106E1" w14:textId="77777777" w:rsidR="00F43895" w:rsidRPr="00F4022F" w:rsidRDefault="000C24D0" w:rsidP="00F4022F">
            <w:pPr>
              <w:rPr>
                <w:rFonts w:cs="Arial"/>
                <w:szCs w:val="22"/>
              </w:rPr>
            </w:pPr>
            <w:r w:rsidRPr="00F4022F">
              <w:rPr>
                <w:rFonts w:cs="Arial"/>
                <w:szCs w:val="22"/>
              </w:rPr>
              <w:t>None</w:t>
            </w:r>
          </w:p>
          <w:p w14:paraId="492106E3" w14:textId="77777777" w:rsidR="00A56681" w:rsidRPr="00F4022F" w:rsidRDefault="00A56681" w:rsidP="00F4022F">
            <w:pPr>
              <w:rPr>
                <w:rFonts w:cs="Arial"/>
                <w:szCs w:val="22"/>
              </w:rPr>
            </w:pPr>
          </w:p>
          <w:p w14:paraId="492106E4" w14:textId="77777777" w:rsidR="00F43895" w:rsidRPr="00F4022F" w:rsidRDefault="000C24D0" w:rsidP="00F4022F">
            <w:pPr>
              <w:rPr>
                <w:rFonts w:cs="Arial"/>
                <w:szCs w:val="22"/>
              </w:rPr>
            </w:pPr>
            <w:r w:rsidRPr="00F4022F">
              <w:rPr>
                <w:rFonts w:cs="Arial"/>
                <w:szCs w:val="22"/>
              </w:rPr>
              <w:t>Non</w:t>
            </w:r>
            <w:r w:rsidR="00F43895" w:rsidRPr="00F4022F">
              <w:rPr>
                <w:rFonts w:cs="Arial"/>
                <w:szCs w:val="22"/>
              </w:rPr>
              <w:t>e</w:t>
            </w:r>
          </w:p>
          <w:p w14:paraId="492106E7" w14:textId="77777777" w:rsidR="00F43895" w:rsidRDefault="000C24D0" w:rsidP="00F4022F">
            <w:pPr>
              <w:rPr>
                <w:rFonts w:cs="Arial"/>
                <w:szCs w:val="22"/>
              </w:rPr>
            </w:pPr>
            <w:r w:rsidRPr="00F4022F">
              <w:rPr>
                <w:rFonts w:cs="Arial"/>
                <w:szCs w:val="22"/>
              </w:rPr>
              <w:t>None</w:t>
            </w:r>
          </w:p>
          <w:p w14:paraId="492106EC" w14:textId="77777777" w:rsidR="00F43895" w:rsidRDefault="009A70B4" w:rsidP="00F4022F">
            <w:pPr>
              <w:rPr>
                <w:rFonts w:cs="Arial"/>
                <w:szCs w:val="22"/>
              </w:rPr>
            </w:pPr>
            <w:r>
              <w:rPr>
                <w:rFonts w:cs="Arial"/>
                <w:szCs w:val="22"/>
              </w:rPr>
              <w:t>Please refer to the legal risks identified above.</w:t>
            </w:r>
          </w:p>
          <w:p w14:paraId="492106EE" w14:textId="77777777" w:rsidR="00F43895" w:rsidRPr="00F4022F" w:rsidRDefault="000C24D0" w:rsidP="00F4022F">
            <w:pPr>
              <w:rPr>
                <w:rFonts w:cs="Arial"/>
                <w:i/>
                <w:color w:val="2E74B5" w:themeColor="accent1" w:themeShade="BF"/>
                <w:szCs w:val="22"/>
              </w:rPr>
            </w:pPr>
            <w:r w:rsidRPr="00F4022F">
              <w:rPr>
                <w:rFonts w:cs="Arial"/>
                <w:szCs w:val="22"/>
              </w:rPr>
              <w:t>Non</w:t>
            </w:r>
            <w:r w:rsidR="00F43895" w:rsidRPr="00F4022F">
              <w:rPr>
                <w:rFonts w:cs="Arial"/>
                <w:szCs w:val="22"/>
              </w:rPr>
              <w:t>e</w:t>
            </w:r>
          </w:p>
        </w:tc>
      </w:tr>
    </w:tbl>
    <w:p w14:paraId="492106F0" w14:textId="77777777" w:rsidR="000C24D0" w:rsidRDefault="000C24D0" w:rsidP="002F5C5E">
      <w:pPr>
        <w:rPr>
          <w:b/>
          <w:szCs w:val="22"/>
        </w:rPr>
      </w:pPr>
    </w:p>
    <w:p w14:paraId="492106F7" w14:textId="77777777" w:rsidR="000B5251" w:rsidRDefault="000B5251" w:rsidP="000B5251">
      <w:pPr>
        <w:rPr>
          <w:b/>
        </w:rPr>
      </w:pPr>
      <w:r w:rsidRPr="00792A2B">
        <w:rPr>
          <w:b/>
        </w:rPr>
        <w:t>1</w:t>
      </w:r>
      <w:r w:rsidR="0085389C">
        <w:rPr>
          <w:b/>
        </w:rPr>
        <w:t>2</w:t>
      </w:r>
      <w:r w:rsidRPr="00792A2B">
        <w:rPr>
          <w:b/>
        </w:rPr>
        <w:t xml:space="preserve">. APPENDICES </w:t>
      </w:r>
    </w:p>
    <w:p w14:paraId="492106F8" w14:textId="77777777" w:rsidR="000B5251" w:rsidRDefault="000B5251" w:rsidP="000B5251">
      <w:pPr>
        <w:rPr>
          <w:b/>
        </w:rPr>
      </w:pPr>
    </w:p>
    <w:p w14:paraId="492106F9" w14:textId="77777777" w:rsidR="002F6D24" w:rsidRDefault="0017294F" w:rsidP="0017294F">
      <w:pPr>
        <w:rPr>
          <w:szCs w:val="22"/>
        </w:rPr>
      </w:pPr>
      <w:r w:rsidRPr="0017294F">
        <w:rPr>
          <w:szCs w:val="22"/>
        </w:rPr>
        <w:t xml:space="preserve"> </w:t>
      </w:r>
      <w:r w:rsidR="002F6D24">
        <w:rPr>
          <w:szCs w:val="22"/>
        </w:rPr>
        <w:t>Appendix A- Application including site plan</w:t>
      </w:r>
    </w:p>
    <w:p w14:paraId="492106FA" w14:textId="77777777" w:rsidR="002F6D24" w:rsidRDefault="002F6D24" w:rsidP="0017294F">
      <w:pPr>
        <w:rPr>
          <w:szCs w:val="22"/>
        </w:rPr>
      </w:pPr>
    </w:p>
    <w:p w14:paraId="492106FB" w14:textId="77777777" w:rsidR="0017294F" w:rsidRDefault="0017294F" w:rsidP="0017294F">
      <w:pPr>
        <w:rPr>
          <w:szCs w:val="22"/>
        </w:rPr>
      </w:pPr>
      <w:r>
        <w:rPr>
          <w:szCs w:val="22"/>
        </w:rPr>
        <w:t xml:space="preserve">Appendix </w:t>
      </w:r>
      <w:r w:rsidR="002F6D24">
        <w:rPr>
          <w:szCs w:val="22"/>
        </w:rPr>
        <w:t>B</w:t>
      </w:r>
      <w:r>
        <w:rPr>
          <w:szCs w:val="22"/>
        </w:rPr>
        <w:t xml:space="preserve"> </w:t>
      </w:r>
      <w:r w:rsidR="00142109">
        <w:rPr>
          <w:szCs w:val="22"/>
        </w:rPr>
        <w:t>–</w:t>
      </w:r>
      <w:r w:rsidR="002F6D24">
        <w:rPr>
          <w:szCs w:val="22"/>
        </w:rPr>
        <w:t>D</w:t>
      </w:r>
      <w:r w:rsidR="00142109">
        <w:rPr>
          <w:szCs w:val="22"/>
        </w:rPr>
        <w:t>. Representations from Responsible Authorities</w:t>
      </w:r>
    </w:p>
    <w:p w14:paraId="492106FC" w14:textId="77777777" w:rsidR="00F75C9D" w:rsidRDefault="00F75C9D" w:rsidP="0017294F">
      <w:pPr>
        <w:rPr>
          <w:szCs w:val="22"/>
        </w:rPr>
      </w:pPr>
    </w:p>
    <w:p w14:paraId="492106FD" w14:textId="77777777" w:rsidR="0017294F" w:rsidRPr="000C24D0" w:rsidRDefault="0017294F" w:rsidP="0017294F">
      <w:pPr>
        <w:rPr>
          <w:szCs w:val="22"/>
        </w:rPr>
      </w:pPr>
      <w:r>
        <w:rPr>
          <w:szCs w:val="22"/>
        </w:rPr>
        <w:t xml:space="preserve">Appendix </w:t>
      </w:r>
      <w:r w:rsidR="002F6D24">
        <w:rPr>
          <w:szCs w:val="22"/>
        </w:rPr>
        <w:t>E</w:t>
      </w:r>
      <w:r w:rsidR="00142109">
        <w:rPr>
          <w:szCs w:val="22"/>
        </w:rPr>
        <w:t>-</w:t>
      </w:r>
      <w:r w:rsidR="002F6D24">
        <w:rPr>
          <w:szCs w:val="22"/>
        </w:rPr>
        <w:t>O</w:t>
      </w:r>
      <w:r w:rsidR="00142109">
        <w:rPr>
          <w:szCs w:val="22"/>
        </w:rPr>
        <w:t xml:space="preserve"> .Representations from Interested parties</w:t>
      </w:r>
    </w:p>
    <w:p w14:paraId="492106FE" w14:textId="77777777" w:rsidR="001C5E49" w:rsidRDefault="001C5E49" w:rsidP="001C5E49">
      <w:pPr>
        <w:tabs>
          <w:tab w:val="left" w:pos="2839"/>
        </w:tabs>
        <w:ind w:left="426" w:hanging="426"/>
        <w:rPr>
          <w:b/>
        </w:rPr>
      </w:pPr>
    </w:p>
    <w:p w14:paraId="492106FF" w14:textId="77777777" w:rsidR="006D748F" w:rsidRPr="007F1945" w:rsidRDefault="006D748F"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14:paraId="49210703" w14:textId="77777777" w:rsidTr="001D28E4">
        <w:tc>
          <w:tcPr>
            <w:tcW w:w="5614" w:type="dxa"/>
            <w:shd w:val="clear" w:color="auto" w:fill="auto"/>
          </w:tcPr>
          <w:p w14:paraId="49210700" w14:textId="77777777" w:rsidR="001C5E49" w:rsidRPr="0031059E" w:rsidRDefault="001C5E49" w:rsidP="00E2196F">
            <w:pPr>
              <w:rPr>
                <w:rFonts w:cs="Arial"/>
              </w:rPr>
            </w:pPr>
            <w:r w:rsidRPr="0031059E">
              <w:rPr>
                <w:rFonts w:cs="Arial"/>
              </w:rPr>
              <w:t>Report Author:</w:t>
            </w:r>
          </w:p>
        </w:tc>
        <w:tc>
          <w:tcPr>
            <w:tcW w:w="1555" w:type="dxa"/>
            <w:shd w:val="clear" w:color="auto" w:fill="auto"/>
          </w:tcPr>
          <w:p w14:paraId="49210701" w14:textId="77777777" w:rsidR="001C5E49" w:rsidRPr="0031059E" w:rsidRDefault="001C5E49" w:rsidP="00E2196F">
            <w:pPr>
              <w:rPr>
                <w:rFonts w:cs="Arial"/>
              </w:rPr>
            </w:pPr>
            <w:r w:rsidRPr="0031059E">
              <w:rPr>
                <w:rFonts w:cs="Arial"/>
              </w:rPr>
              <w:t>Telephone:</w:t>
            </w:r>
          </w:p>
        </w:tc>
        <w:tc>
          <w:tcPr>
            <w:tcW w:w="2351" w:type="dxa"/>
            <w:shd w:val="clear" w:color="auto" w:fill="auto"/>
          </w:tcPr>
          <w:p w14:paraId="49210702" w14:textId="77777777" w:rsidR="001C5E49" w:rsidRPr="0031059E" w:rsidRDefault="001C5E49" w:rsidP="00E2196F">
            <w:pPr>
              <w:rPr>
                <w:rFonts w:cs="Arial"/>
              </w:rPr>
            </w:pPr>
            <w:r w:rsidRPr="0031059E">
              <w:rPr>
                <w:rFonts w:cs="Arial"/>
              </w:rPr>
              <w:t>Date:</w:t>
            </w:r>
          </w:p>
        </w:tc>
      </w:tr>
      <w:tr w:rsidR="00C903AC" w14:paraId="4921070C" w14:textId="77777777" w:rsidTr="001D28E4">
        <w:tc>
          <w:tcPr>
            <w:tcW w:w="5614" w:type="dxa"/>
            <w:shd w:val="clear" w:color="auto" w:fill="auto"/>
          </w:tcPr>
          <w:p w14:paraId="49210704" w14:textId="77777777" w:rsidR="00C903AC" w:rsidRDefault="00C903AC" w:rsidP="00C903AC">
            <w:pPr>
              <w:rPr>
                <w:rFonts w:cs="Arial"/>
                <w:i/>
                <w:color w:val="2E74B5" w:themeColor="accent1" w:themeShade="BF"/>
              </w:rPr>
            </w:pPr>
          </w:p>
          <w:p w14:paraId="49210705" w14:textId="77777777" w:rsidR="00DD2D13" w:rsidRPr="00DD2D13" w:rsidRDefault="009674A1" w:rsidP="00C903AC">
            <w:pPr>
              <w:rPr>
                <w:rFonts w:cs="Arial"/>
              </w:rPr>
            </w:pPr>
            <w:r>
              <w:rPr>
                <w:rFonts w:cs="Arial"/>
              </w:rPr>
              <w:t>Mark Marshall</w:t>
            </w:r>
          </w:p>
          <w:p w14:paraId="49210706" w14:textId="77777777" w:rsidR="00C903AC" w:rsidRPr="0031059E" w:rsidRDefault="00C903AC" w:rsidP="00C903AC">
            <w:pPr>
              <w:ind w:left="-539" w:firstLine="539"/>
              <w:rPr>
                <w:rFonts w:cs="Arial"/>
              </w:rPr>
            </w:pPr>
          </w:p>
        </w:tc>
        <w:tc>
          <w:tcPr>
            <w:tcW w:w="1555" w:type="dxa"/>
            <w:shd w:val="clear" w:color="auto" w:fill="auto"/>
          </w:tcPr>
          <w:p w14:paraId="49210707" w14:textId="77777777" w:rsidR="00745026" w:rsidRDefault="00745026" w:rsidP="00C903AC">
            <w:pPr>
              <w:rPr>
                <w:rFonts w:cs="Arial"/>
              </w:rPr>
            </w:pPr>
          </w:p>
          <w:p w14:paraId="49210708" w14:textId="77777777" w:rsidR="00C903AC" w:rsidRDefault="00DD2D13" w:rsidP="00C903AC">
            <w:pPr>
              <w:rPr>
                <w:rFonts w:cs="Arial"/>
              </w:rPr>
            </w:pPr>
            <w:r>
              <w:rPr>
                <w:rFonts w:cs="Arial"/>
              </w:rPr>
              <w:t>01772 625401</w:t>
            </w:r>
          </w:p>
          <w:p w14:paraId="49210709" w14:textId="77777777" w:rsidR="00745026" w:rsidRPr="0031059E" w:rsidRDefault="00745026" w:rsidP="00C903AC">
            <w:pPr>
              <w:rPr>
                <w:rFonts w:cs="Arial"/>
              </w:rPr>
            </w:pPr>
          </w:p>
        </w:tc>
        <w:tc>
          <w:tcPr>
            <w:tcW w:w="2351" w:type="dxa"/>
            <w:shd w:val="clear" w:color="auto" w:fill="auto"/>
          </w:tcPr>
          <w:p w14:paraId="4921070A" w14:textId="77777777" w:rsidR="00745026" w:rsidRDefault="00745026" w:rsidP="00C903AC">
            <w:pPr>
              <w:rPr>
                <w:rFonts w:cs="Arial"/>
              </w:rPr>
            </w:pPr>
          </w:p>
          <w:p w14:paraId="4921070B" w14:textId="77777777" w:rsidR="00C903AC" w:rsidRPr="0031059E" w:rsidRDefault="00142109" w:rsidP="00C903AC">
            <w:pPr>
              <w:rPr>
                <w:rFonts w:cs="Arial"/>
              </w:rPr>
            </w:pPr>
            <w:r>
              <w:rPr>
                <w:rFonts w:cs="Arial"/>
              </w:rPr>
              <w:t>26th June 2018</w:t>
            </w:r>
          </w:p>
        </w:tc>
      </w:tr>
    </w:tbl>
    <w:p w14:paraId="4921070D" w14:textId="77777777" w:rsidR="001C5E49" w:rsidRPr="009725FB" w:rsidRDefault="001C5E49" w:rsidP="00DD2D13">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10712" w14:textId="77777777" w:rsidR="005668A1" w:rsidRDefault="005668A1">
      <w:r>
        <w:separator/>
      </w:r>
    </w:p>
  </w:endnote>
  <w:endnote w:type="continuationSeparator" w:id="0">
    <w:p w14:paraId="49210713" w14:textId="77777777" w:rsidR="005668A1" w:rsidRDefault="0056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0714"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C7602F">
      <w:rPr>
        <w:noProof/>
        <w:sz w:val="24"/>
      </w:rPr>
      <w:t>3</w:t>
    </w:r>
    <w:r w:rsidRPr="00FD7B65">
      <w:rPr>
        <w:noProof/>
        <w:sz w:val="24"/>
      </w:rPr>
      <w:fldChar w:fldCharType="end"/>
    </w:r>
  </w:p>
  <w:p w14:paraId="49210715"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10710" w14:textId="77777777" w:rsidR="005668A1" w:rsidRDefault="005668A1">
      <w:r>
        <w:separator/>
      </w:r>
    </w:p>
  </w:footnote>
  <w:footnote w:type="continuationSeparator" w:id="0">
    <w:p w14:paraId="49210711" w14:textId="77777777" w:rsidR="005668A1" w:rsidRDefault="00566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00BE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6C14DF9"/>
    <w:multiLevelType w:val="hybridMultilevel"/>
    <w:tmpl w:val="42588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9450D"/>
    <w:multiLevelType w:val="hybridMultilevel"/>
    <w:tmpl w:val="A08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2F45"/>
    <w:multiLevelType w:val="hybridMultilevel"/>
    <w:tmpl w:val="BC12A1C8"/>
    <w:lvl w:ilvl="0" w:tplc="3F08A0A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202C1C"/>
    <w:multiLevelType w:val="hybridMultilevel"/>
    <w:tmpl w:val="EF64909A"/>
    <w:lvl w:ilvl="0" w:tplc="71CE7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D3C6BF8"/>
    <w:multiLevelType w:val="hybridMultilevel"/>
    <w:tmpl w:val="E0E4509E"/>
    <w:lvl w:ilvl="0" w:tplc="D934386C">
      <w:start w:val="5"/>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19C3F16"/>
    <w:multiLevelType w:val="hybridMultilevel"/>
    <w:tmpl w:val="61CAD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AC271A"/>
    <w:multiLevelType w:val="hybridMultilevel"/>
    <w:tmpl w:val="B76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D396D"/>
    <w:multiLevelType w:val="hybridMultilevel"/>
    <w:tmpl w:val="7D20B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15B325EC"/>
    <w:multiLevelType w:val="multilevel"/>
    <w:tmpl w:val="240091A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8E4CA2"/>
    <w:multiLevelType w:val="multilevel"/>
    <w:tmpl w:val="32E8600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0" w15:restartNumberingAfterBreak="0">
    <w:nsid w:val="1AD478C1"/>
    <w:multiLevelType w:val="hybridMultilevel"/>
    <w:tmpl w:val="BB1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8963248"/>
    <w:multiLevelType w:val="hybridMultilevel"/>
    <w:tmpl w:val="E04C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0A1EB1"/>
    <w:multiLevelType w:val="hybridMultilevel"/>
    <w:tmpl w:val="04A8E5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4A7094"/>
    <w:multiLevelType w:val="hybridMultilevel"/>
    <w:tmpl w:val="7F289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1CA435F"/>
    <w:multiLevelType w:val="multilevel"/>
    <w:tmpl w:val="AEEE6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A34BD0"/>
    <w:multiLevelType w:val="hybridMultilevel"/>
    <w:tmpl w:val="3BD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C60002"/>
    <w:multiLevelType w:val="hybridMultilevel"/>
    <w:tmpl w:val="E85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4A5D20"/>
    <w:multiLevelType w:val="hybridMultilevel"/>
    <w:tmpl w:val="B90E0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DA94329"/>
    <w:multiLevelType w:val="hybridMultilevel"/>
    <w:tmpl w:val="4D8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712AAF"/>
    <w:multiLevelType w:val="hybridMultilevel"/>
    <w:tmpl w:val="49A6CFAA"/>
    <w:lvl w:ilvl="0" w:tplc="8B50E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1843F1"/>
    <w:multiLevelType w:val="hybridMultilevel"/>
    <w:tmpl w:val="555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B47085A"/>
    <w:multiLevelType w:val="hybridMultilevel"/>
    <w:tmpl w:val="3DD20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5E7F11"/>
    <w:multiLevelType w:val="multilevel"/>
    <w:tmpl w:val="0E541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4AB4727"/>
    <w:multiLevelType w:val="hybridMultilevel"/>
    <w:tmpl w:val="D5128D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65E30E0F"/>
    <w:multiLevelType w:val="multilevel"/>
    <w:tmpl w:val="F3E684F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2" w15:restartNumberingAfterBreak="0">
    <w:nsid w:val="65FF3D60"/>
    <w:multiLevelType w:val="hybridMultilevel"/>
    <w:tmpl w:val="9BE2B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D95319"/>
    <w:multiLevelType w:val="multilevel"/>
    <w:tmpl w:val="65A045F4"/>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5" w15:restartNumberingAfterBreak="0">
    <w:nsid w:val="6D1876AA"/>
    <w:multiLevelType w:val="hybridMultilevel"/>
    <w:tmpl w:val="652A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1F3A66"/>
    <w:multiLevelType w:val="multilevel"/>
    <w:tmpl w:val="1A9C38F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4DA2822"/>
    <w:multiLevelType w:val="hybridMultilevel"/>
    <w:tmpl w:val="AEAE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F65ACF"/>
    <w:multiLevelType w:val="hybridMultilevel"/>
    <w:tmpl w:val="41F816A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35"/>
  </w:num>
  <w:num w:numId="3">
    <w:abstractNumId w:val="38"/>
  </w:num>
  <w:num w:numId="4">
    <w:abstractNumId w:val="22"/>
  </w:num>
  <w:num w:numId="5">
    <w:abstractNumId w:val="31"/>
  </w:num>
  <w:num w:numId="6">
    <w:abstractNumId w:val="17"/>
  </w:num>
  <w:num w:numId="7">
    <w:abstractNumId w:val="14"/>
  </w:num>
  <w:num w:numId="8">
    <w:abstractNumId w:val="15"/>
  </w:num>
  <w:num w:numId="9">
    <w:abstractNumId w:val="4"/>
  </w:num>
  <w:num w:numId="10">
    <w:abstractNumId w:val="9"/>
  </w:num>
  <w:num w:numId="11">
    <w:abstractNumId w:val="13"/>
  </w:num>
  <w:num w:numId="12">
    <w:abstractNumId w:val="27"/>
  </w:num>
  <w:num w:numId="13">
    <w:abstractNumId w:val="1"/>
  </w:num>
  <w:num w:numId="14">
    <w:abstractNumId w:val="44"/>
  </w:num>
  <w:num w:numId="15">
    <w:abstractNumId w:val="19"/>
  </w:num>
  <w:num w:numId="16">
    <w:abstractNumId w:val="18"/>
  </w:num>
  <w:num w:numId="17">
    <w:abstractNumId w:val="6"/>
  </w:num>
  <w:num w:numId="18">
    <w:abstractNumId w:val="29"/>
  </w:num>
  <w:num w:numId="19">
    <w:abstractNumId w:val="23"/>
  </w:num>
  <w:num w:numId="20">
    <w:abstractNumId w:val="20"/>
  </w:num>
  <w:num w:numId="21">
    <w:abstractNumId w:val="25"/>
  </w:num>
  <w:num w:numId="22">
    <w:abstractNumId w:val="3"/>
  </w:num>
  <w:num w:numId="23">
    <w:abstractNumId w:val="11"/>
  </w:num>
  <w:num w:numId="24">
    <w:abstractNumId w:val="37"/>
  </w:num>
  <w:num w:numId="25">
    <w:abstractNumId w:val="41"/>
  </w:num>
  <w:num w:numId="26">
    <w:abstractNumId w:val="16"/>
  </w:num>
  <w:num w:numId="27">
    <w:abstractNumId w:val="26"/>
  </w:num>
  <w:num w:numId="28">
    <w:abstractNumId w:val="39"/>
  </w:num>
  <w:num w:numId="29">
    <w:abstractNumId w:val="43"/>
  </w:num>
  <w:num w:numId="30">
    <w:abstractNumId w:val="46"/>
  </w:num>
  <w:num w:numId="31">
    <w:abstractNumId w:val="10"/>
  </w:num>
  <w:num w:numId="32">
    <w:abstractNumId w:val="36"/>
  </w:num>
  <w:num w:numId="33">
    <w:abstractNumId w:val="12"/>
  </w:num>
  <w:num w:numId="34">
    <w:abstractNumId w:val="42"/>
  </w:num>
  <w:num w:numId="35">
    <w:abstractNumId w:val="40"/>
  </w:num>
  <w:num w:numId="36">
    <w:abstractNumId w:val="45"/>
  </w:num>
  <w:num w:numId="37">
    <w:abstractNumId w:val="2"/>
  </w:num>
  <w:num w:numId="38">
    <w:abstractNumId w:val="32"/>
  </w:num>
  <w:num w:numId="39">
    <w:abstractNumId w:val="30"/>
  </w:num>
  <w:num w:numId="40">
    <w:abstractNumId w:val="47"/>
  </w:num>
  <w:num w:numId="41">
    <w:abstractNumId w:val="34"/>
  </w:num>
  <w:num w:numId="42">
    <w:abstractNumId w:val="33"/>
  </w:num>
  <w:num w:numId="43">
    <w:abstractNumId w:val="0"/>
  </w:num>
  <w:num w:numId="44">
    <w:abstractNumId w:val="8"/>
  </w:num>
  <w:num w:numId="45">
    <w:abstractNumId w:val="21"/>
  </w:num>
  <w:num w:numId="46">
    <w:abstractNumId w:val="48"/>
  </w:num>
  <w:num w:numId="47">
    <w:abstractNumId w:val="7"/>
  </w:num>
  <w:num w:numId="48">
    <w:abstractNumId w:val="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48AE"/>
    <w:rsid w:val="00016DD3"/>
    <w:rsid w:val="00025DED"/>
    <w:rsid w:val="00067B79"/>
    <w:rsid w:val="000B5251"/>
    <w:rsid w:val="000B621E"/>
    <w:rsid w:val="000C24D0"/>
    <w:rsid w:val="000E10FE"/>
    <w:rsid w:val="000F2C8A"/>
    <w:rsid w:val="00140A9E"/>
    <w:rsid w:val="00142109"/>
    <w:rsid w:val="00153993"/>
    <w:rsid w:val="001544DD"/>
    <w:rsid w:val="00157CC1"/>
    <w:rsid w:val="0016571F"/>
    <w:rsid w:val="0017294F"/>
    <w:rsid w:val="00184E1D"/>
    <w:rsid w:val="00185E4F"/>
    <w:rsid w:val="001938D6"/>
    <w:rsid w:val="001B1D4F"/>
    <w:rsid w:val="001C5E49"/>
    <w:rsid w:val="001D28E4"/>
    <w:rsid w:val="002144D0"/>
    <w:rsid w:val="002221BD"/>
    <w:rsid w:val="00237E9D"/>
    <w:rsid w:val="00242744"/>
    <w:rsid w:val="0025591B"/>
    <w:rsid w:val="00262CC8"/>
    <w:rsid w:val="00274776"/>
    <w:rsid w:val="002820A5"/>
    <w:rsid w:val="002A671F"/>
    <w:rsid w:val="002D62DF"/>
    <w:rsid w:val="002E3A51"/>
    <w:rsid w:val="002E4FF4"/>
    <w:rsid w:val="002F5C5E"/>
    <w:rsid w:val="002F6D24"/>
    <w:rsid w:val="003400B6"/>
    <w:rsid w:val="00342AB1"/>
    <w:rsid w:val="00345C71"/>
    <w:rsid w:val="00386AAD"/>
    <w:rsid w:val="003902A2"/>
    <w:rsid w:val="0039431C"/>
    <w:rsid w:val="003A1B3F"/>
    <w:rsid w:val="003A23D3"/>
    <w:rsid w:val="003A2919"/>
    <w:rsid w:val="003B1E6D"/>
    <w:rsid w:val="003C36EB"/>
    <w:rsid w:val="003E33E6"/>
    <w:rsid w:val="003F0035"/>
    <w:rsid w:val="003F5603"/>
    <w:rsid w:val="00405D4A"/>
    <w:rsid w:val="004218EA"/>
    <w:rsid w:val="0042456A"/>
    <w:rsid w:val="00442C46"/>
    <w:rsid w:val="00447117"/>
    <w:rsid w:val="00474DA8"/>
    <w:rsid w:val="0047741D"/>
    <w:rsid w:val="0048503A"/>
    <w:rsid w:val="004A45D4"/>
    <w:rsid w:val="004D7260"/>
    <w:rsid w:val="004F23B3"/>
    <w:rsid w:val="005041BB"/>
    <w:rsid w:val="00515B7F"/>
    <w:rsid w:val="00525728"/>
    <w:rsid w:val="00533525"/>
    <w:rsid w:val="00533667"/>
    <w:rsid w:val="005368C1"/>
    <w:rsid w:val="00547120"/>
    <w:rsid w:val="00547481"/>
    <w:rsid w:val="005515D9"/>
    <w:rsid w:val="005668A1"/>
    <w:rsid w:val="00576A82"/>
    <w:rsid w:val="005A26AD"/>
    <w:rsid w:val="005B0C36"/>
    <w:rsid w:val="005C12B9"/>
    <w:rsid w:val="005D4F59"/>
    <w:rsid w:val="0060374B"/>
    <w:rsid w:val="00604A18"/>
    <w:rsid w:val="006234A2"/>
    <w:rsid w:val="00630F86"/>
    <w:rsid w:val="00633396"/>
    <w:rsid w:val="00645A0B"/>
    <w:rsid w:val="006555E6"/>
    <w:rsid w:val="0066337F"/>
    <w:rsid w:val="00674679"/>
    <w:rsid w:val="006879CA"/>
    <w:rsid w:val="006B645E"/>
    <w:rsid w:val="006B7116"/>
    <w:rsid w:val="006C04C1"/>
    <w:rsid w:val="006C209A"/>
    <w:rsid w:val="006D748F"/>
    <w:rsid w:val="006E09FB"/>
    <w:rsid w:val="006F2214"/>
    <w:rsid w:val="006F76A3"/>
    <w:rsid w:val="00707E99"/>
    <w:rsid w:val="00712E3F"/>
    <w:rsid w:val="00713633"/>
    <w:rsid w:val="0073635E"/>
    <w:rsid w:val="00745026"/>
    <w:rsid w:val="00772B9C"/>
    <w:rsid w:val="00777EF3"/>
    <w:rsid w:val="00790F8A"/>
    <w:rsid w:val="00792A2B"/>
    <w:rsid w:val="007B4D3D"/>
    <w:rsid w:val="007D3656"/>
    <w:rsid w:val="007D610E"/>
    <w:rsid w:val="007F35CE"/>
    <w:rsid w:val="00837748"/>
    <w:rsid w:val="0085389C"/>
    <w:rsid w:val="00893AD2"/>
    <w:rsid w:val="008A2F6B"/>
    <w:rsid w:val="008A42E3"/>
    <w:rsid w:val="008A5EFE"/>
    <w:rsid w:val="008A77AB"/>
    <w:rsid w:val="008B41C5"/>
    <w:rsid w:val="008C3B1A"/>
    <w:rsid w:val="008D3B75"/>
    <w:rsid w:val="008D623F"/>
    <w:rsid w:val="008F4B91"/>
    <w:rsid w:val="0090542C"/>
    <w:rsid w:val="009153B2"/>
    <w:rsid w:val="009350CB"/>
    <w:rsid w:val="00945281"/>
    <w:rsid w:val="00947D05"/>
    <w:rsid w:val="009538AE"/>
    <w:rsid w:val="009674A1"/>
    <w:rsid w:val="00980267"/>
    <w:rsid w:val="00983CD5"/>
    <w:rsid w:val="00992E79"/>
    <w:rsid w:val="00993D2F"/>
    <w:rsid w:val="009A70B4"/>
    <w:rsid w:val="009A714A"/>
    <w:rsid w:val="009C0D8B"/>
    <w:rsid w:val="009C1143"/>
    <w:rsid w:val="009E48E0"/>
    <w:rsid w:val="00A00B4A"/>
    <w:rsid w:val="00A1406A"/>
    <w:rsid w:val="00A22D02"/>
    <w:rsid w:val="00A30426"/>
    <w:rsid w:val="00A33B5B"/>
    <w:rsid w:val="00A4702E"/>
    <w:rsid w:val="00A50754"/>
    <w:rsid w:val="00A55825"/>
    <w:rsid w:val="00A56681"/>
    <w:rsid w:val="00A76482"/>
    <w:rsid w:val="00A87399"/>
    <w:rsid w:val="00AB2853"/>
    <w:rsid w:val="00AC4A99"/>
    <w:rsid w:val="00AC69B4"/>
    <w:rsid w:val="00B05FE8"/>
    <w:rsid w:val="00B1750C"/>
    <w:rsid w:val="00B1788B"/>
    <w:rsid w:val="00B443DD"/>
    <w:rsid w:val="00B51DB8"/>
    <w:rsid w:val="00B54026"/>
    <w:rsid w:val="00B62D79"/>
    <w:rsid w:val="00B70B91"/>
    <w:rsid w:val="00B716F5"/>
    <w:rsid w:val="00B72A06"/>
    <w:rsid w:val="00B766C4"/>
    <w:rsid w:val="00B92298"/>
    <w:rsid w:val="00BA2606"/>
    <w:rsid w:val="00BC6635"/>
    <w:rsid w:val="00BE2A3F"/>
    <w:rsid w:val="00C022F9"/>
    <w:rsid w:val="00C209E3"/>
    <w:rsid w:val="00C30128"/>
    <w:rsid w:val="00C33FA8"/>
    <w:rsid w:val="00C36409"/>
    <w:rsid w:val="00C42294"/>
    <w:rsid w:val="00C47B54"/>
    <w:rsid w:val="00C52450"/>
    <w:rsid w:val="00C64ED1"/>
    <w:rsid w:val="00C66BAA"/>
    <w:rsid w:val="00C7602F"/>
    <w:rsid w:val="00C903AC"/>
    <w:rsid w:val="00CB32DF"/>
    <w:rsid w:val="00CB34AF"/>
    <w:rsid w:val="00CC3246"/>
    <w:rsid w:val="00CE3DA1"/>
    <w:rsid w:val="00CE4482"/>
    <w:rsid w:val="00CF6B60"/>
    <w:rsid w:val="00CF7677"/>
    <w:rsid w:val="00D03328"/>
    <w:rsid w:val="00D26E1E"/>
    <w:rsid w:val="00D36638"/>
    <w:rsid w:val="00D37BAE"/>
    <w:rsid w:val="00D772AB"/>
    <w:rsid w:val="00D90A00"/>
    <w:rsid w:val="00D91845"/>
    <w:rsid w:val="00D9371C"/>
    <w:rsid w:val="00DA1EF0"/>
    <w:rsid w:val="00DB3FD0"/>
    <w:rsid w:val="00DD2D13"/>
    <w:rsid w:val="00DE5E12"/>
    <w:rsid w:val="00DF3BF5"/>
    <w:rsid w:val="00E2196F"/>
    <w:rsid w:val="00E2276E"/>
    <w:rsid w:val="00E352B4"/>
    <w:rsid w:val="00E41950"/>
    <w:rsid w:val="00E51346"/>
    <w:rsid w:val="00E569CB"/>
    <w:rsid w:val="00E577A2"/>
    <w:rsid w:val="00E60A53"/>
    <w:rsid w:val="00E63940"/>
    <w:rsid w:val="00E733A5"/>
    <w:rsid w:val="00E753EC"/>
    <w:rsid w:val="00E800A3"/>
    <w:rsid w:val="00E84459"/>
    <w:rsid w:val="00E971A2"/>
    <w:rsid w:val="00EB2D32"/>
    <w:rsid w:val="00EB7C94"/>
    <w:rsid w:val="00ED257A"/>
    <w:rsid w:val="00EF590B"/>
    <w:rsid w:val="00F040CF"/>
    <w:rsid w:val="00F3057A"/>
    <w:rsid w:val="00F30E9C"/>
    <w:rsid w:val="00F4022F"/>
    <w:rsid w:val="00F43895"/>
    <w:rsid w:val="00F511AA"/>
    <w:rsid w:val="00F55E4D"/>
    <w:rsid w:val="00F61752"/>
    <w:rsid w:val="00F67F95"/>
    <w:rsid w:val="00F75C9D"/>
    <w:rsid w:val="00FA7E25"/>
    <w:rsid w:val="00FC391E"/>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210639"/>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A00B4A"/>
    <w:rPr>
      <w:sz w:val="16"/>
      <w:szCs w:val="16"/>
    </w:rPr>
  </w:style>
  <w:style w:type="paragraph" w:styleId="CommentText">
    <w:name w:val="annotation text"/>
    <w:basedOn w:val="Normal"/>
    <w:link w:val="CommentTextChar"/>
    <w:uiPriority w:val="99"/>
    <w:semiHidden/>
    <w:unhideWhenUsed/>
    <w:rsid w:val="00A00B4A"/>
    <w:rPr>
      <w:sz w:val="20"/>
    </w:rPr>
  </w:style>
  <w:style w:type="character" w:customStyle="1" w:styleId="CommentTextChar">
    <w:name w:val="Comment Text Char"/>
    <w:basedOn w:val="DefaultParagraphFont"/>
    <w:link w:val="CommentText"/>
    <w:uiPriority w:val="99"/>
    <w:semiHidden/>
    <w:rsid w:val="00A00B4A"/>
    <w:rPr>
      <w:rFonts w:ascii="Arial" w:hAnsi="Arial"/>
    </w:rPr>
  </w:style>
  <w:style w:type="paragraph" w:styleId="CommentSubject">
    <w:name w:val="annotation subject"/>
    <w:basedOn w:val="CommentText"/>
    <w:next w:val="CommentText"/>
    <w:link w:val="CommentSubjectChar"/>
    <w:uiPriority w:val="99"/>
    <w:semiHidden/>
    <w:unhideWhenUsed/>
    <w:rsid w:val="00A00B4A"/>
    <w:rPr>
      <w:b/>
      <w:bCs/>
    </w:rPr>
  </w:style>
  <w:style w:type="character" w:customStyle="1" w:styleId="CommentSubjectChar">
    <w:name w:val="Comment Subject Char"/>
    <w:basedOn w:val="CommentTextChar"/>
    <w:link w:val="CommentSubject"/>
    <w:uiPriority w:val="99"/>
    <w:semiHidden/>
    <w:rsid w:val="00A00B4A"/>
    <w:rPr>
      <w:rFonts w:ascii="Arial" w:hAnsi="Arial"/>
      <w:b/>
      <w:bCs/>
    </w:rPr>
  </w:style>
  <w:style w:type="paragraph" w:customStyle="1" w:styleId="Default">
    <w:name w:val="Default"/>
    <w:rsid w:val="00A33B5B"/>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242744"/>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977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0831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2401-DDF8-40F7-B451-BD686529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1369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2018-03-14T15:24:00Z</cp:lastPrinted>
  <dcterms:created xsi:type="dcterms:W3CDTF">2018-07-03T09:36:00Z</dcterms:created>
  <dcterms:modified xsi:type="dcterms:W3CDTF">2018-07-03T09:36:00Z</dcterms:modified>
</cp:coreProperties>
</file>